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240"/>
        <w:jc w:val="center"/>
      </w:pPr>
      <w:r>
        <w:rPr>
          <w:rFonts w:ascii="Times New Roman" w:cs="Times New Roman" w:eastAsia="SimHei" w:hAnsi="Times New Roman"/>
          <w:b/>
          <w:bCs/>
          <w:color w:val="1F3864"/>
          <w:sz w:val="40"/>
          <w:szCs w:val="40"/>
        </w:rPr>
        <w:t xml:space="preserve">GSE60450 小鼠乳腺 RNA-seq 数据分析复现报告</w:t>
      </w:r>
    </w:p>
    <w:p>
      <w:pPr>
        <w:spacing w:after="600"/>
        <w:jc w:val="center"/>
      </w:pPr>
      <w:r>
        <w:rPr>
          <w:rFonts w:ascii="Times New Roman" w:cs="Times New Roman" w:eastAsia="SimSun" w:hAnsi="Times New Roman"/>
          <w:color w:val="2E5395"/>
          <w:sz w:val="26"/>
          <w:szCs w:val="26"/>
        </w:rPr>
        <w:t xml:space="preserve">从原始数据到差异表达的全流程实现（基于实验室 PBS 集群）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sz w:val="22"/>
          <w:szCs w:val="22"/>
        </w:rPr>
        <w:t xml:space="preserve">数据集：GEO GSE60450 / SRA SRP045534（Fu et al., 2015）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sz w:val="22"/>
          <w:szCs w:val="22"/>
        </w:rPr>
        <w:t xml:space="preserve">分析平台：实验室集群 ds01 + cn1（PBS 调度）</w:t>
      </w:r>
    </w:p>
    <w:p>
      <w:pPr>
        <w:spacing w:after="1200"/>
        <w:jc w:val="center"/>
      </w:pPr>
      <w:r>
        <w:rPr>
          <w:rFonts w:ascii="Times New Roman" w:cs="Times New Roman" w:eastAsia="SimSun" w:hAnsi="Times New Roman"/>
          <w:sz w:val="22"/>
          <w:szCs w:val="22"/>
        </w:rPr>
        <w:t xml:space="preserve">完成日期：2026 年 9 月 27 日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i/>
          <w:iCs/>
          <w:color w:val="8496B0"/>
          <w:sz w:val="20"/>
          <w:szCs w:val="20"/>
        </w:rPr>
        <w:t xml:space="preserve">本报告为本科毕业设计课题的实验记录底稿：涵盖计算环境、流程方法、质控与差异分析结果、问题排查记录，全部步骤可在集群上凭脚本与日志复现。</w:t>
      </w:r>
    </w:p>
    <w:p>
      <w:pPr>
        <w:spacing w:after="0"/>
      </w:pPr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目录</w:t>
      </w:r>
    </w:p>
    <w:p>
      <w:pPr>
        <w:spacing w:after="160"/>
      </w:pPr>
      <w:r>
        <w:rPr>
          <w:rFonts w:ascii="Times New Roman" w:cs="Times New Roman" w:eastAsia="SimSun" w:hAnsi="Times New Roman"/>
          <w:i/>
          <w:iCs/>
          <w:color w:val="8496B0"/>
          <w:sz w:val="18"/>
          <w:szCs w:val="18"/>
        </w:rPr>
        <w:t xml:space="preserve">（如页码与正文不符，在 Word 中右键目录选择“更新域”即可刷新）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一、项目概述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1.1 数据集与实验设计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1.2 分析目标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二、计算环境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2.1 集群硬件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2.2 软件环境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2.3 参考基因组与注释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三、分析流程与方法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 原始数据下载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3.2 STAR 索引构建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3.3 SRA 转 FASTQ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3.4 序列比对（作业数组）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3.5 基因表达定量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3.6 差异表达分析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3.7 质量控制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四、结果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比对质量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样本聚类与 PCA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4.3 差异表达统计与火山图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4.4 Top 差异基因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五、讨论与局限</w:t>
          </w:r>
          <w:r>
            <w:tab/>
          </w:r>
          <w:r>
            <w:t>15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六、问题排查记录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七、技能收获总结</w:t>
          </w:r>
          <w:r>
            <w:tab/>
          </w:r>
          <w:r>
            <w:t>17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附录 A  项目目录结构</w:t>
          </w:r>
          <w:r>
            <w:tab/>
          </w:r>
          <w:r>
            <w:t>18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附录 B  脚本清单</w:t>
          </w:r>
          <w:r>
            <w:tab/>
          </w:r>
          <w:r>
            <w:t>18</w:t>
          </w:r>
        </w:p>
        <w:p>
          <w:r>
            <w:fldChar w:fldCharType="end"/>
          </w:r>
        </w:p>
      </w:sdtContent>
    </w:sdt>
    <w:p>
      <w:pPr>
        <w:spacing w:after="0"/>
      </w:pPr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一、项目概述</w:t>
      </w:r>
    </w:p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1.1 数据集与实验设计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本分析复现 Fu 等人（2015）发表的小鼠乳腺上皮细胞 RNA-seq 数据集（GEO 编号 GSE60450，SRA 编号 SRP045534）。该研究比较小鼠乳腺中两类主要上皮细胞——基底细胞（Basal）与管腔细胞（Luminal）——在三个生理时期（未孕 virgin、孕期 pregnant、泌乳期 lactating）的转录组差异，为理解乳腺发育与泌乳的分子机制提供基础数据。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实验设计为 2 种细胞类型 × 3 个时期 × 2 个生物学重复 = 12 个样本，均为单端 50 bp 测序。样本清单如下表（样本命名与分组沿用原文）。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400"/>
        <w:gridCol w:w="1500"/>
        <w:gridCol w:w="1800"/>
      </w:tblGrid>
      <w:tr>
        <w:tc>
          <w:tcPr>
            <w:tcW w:type="dxa" w:w="11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样本名</w:t>
            </w:r>
          </w:p>
        </w:tc>
        <w:tc>
          <w:tcPr>
            <w:tcW w:type="dxa" w:w="1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SRA 编号</w:t>
            </w:r>
          </w:p>
        </w:tc>
        <w:tc>
          <w:tcPr>
            <w:tcW w:type="dxa" w:w="1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细胞类型</w:t>
            </w:r>
          </w:p>
        </w:tc>
        <w:tc>
          <w:tcPr>
            <w:tcW w:type="dxa" w:w="1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时期</w:t>
            </w:r>
          </w:p>
        </w:tc>
        <w:tc>
          <w:tcPr>
            <w:tcW w:type="dxa" w:w="1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分组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LV1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virgin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Luminal_virgin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LV2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virgin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Luminal_virgin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pregnant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Luminal_pregnant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pregnant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Luminal_pregnant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LL1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lactating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Luminal_lactating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LL2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lactating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Luminal_lactating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BV1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virgin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Basal_virgin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BV2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virgin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Basal_virgin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pregnant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Basal_pregnant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pregnant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Basal_pregnant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BL1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lactating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Basal_lactating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BL2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lactating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Basal_lactating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1.2 分析目标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搭建一套在实验室集群上可复现的 RNA-seq 标准流程（下载 → 比对 → 定量 → 差异分析 → 可视化）；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对原始测序数据进行质量控制评估（测序质量、比对率、计数分配）；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鉴定不同细胞类型间、以及不同发育时期间的差异表达基因（DEGs）；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通过 PCA、聚类热图、火山图等展示样本关系与差异表达格局，并与原文结论对照。</w:t>
      </w:r>
    </w:p>
    <w:p>
      <w:pPr>
        <w:pStyle w:val="Heading1"/>
        <w:spacing w:after="160" w:before="320"/>
      </w:pPr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二、计算环境</w:t>
      </w:r>
    </w:p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2.1 集群硬件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分析在实验室集群上完成。集群由登录/存储节点 ds01 与计算节点 cn1 组成，任务通过 PBS 调度系统提交。登录节点仅用于轻量操作（下载、编辑、提交），所有计算密集型步骤（建索引、比对、定量）均以 PBS 作业提交至 cn1 执行。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500"/>
        <w:gridCol w:w="2000"/>
      </w:tblGrid>
      <w:tr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节点</w:t>
            </w:r>
          </w:p>
        </w:tc>
        <w:tc>
          <w:tcPr>
            <w:tcW w:type="dxa" w:w="2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2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配置</w:t>
            </w:r>
          </w:p>
        </w:tc>
        <w:tc>
          <w:tcPr>
            <w:tcW w:type="dxa" w:w="20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ds01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登录/存储节点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 核 / 62 GB 内存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登录、下载、脚本编辑、任务提交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cn1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计算节点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112 核 / 502 GB 内存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PBS 作业实际执行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/data/R01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共享存储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73 TB（可用 12 TB）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家目录与全部项目数据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2.2 软件环境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软件通过 Miniconda 安装管理，按用途分为两个隔离环境：rnaseq（原始数据处理工具链）与 r_env（统计分析与绘图）。核心软件版本如下表。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100"/>
      </w:tblGrid>
      <w:tr>
        <w:tc>
          <w:tcPr>
            <w:tcW w:type="dxa" w:w="2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软件</w:t>
            </w:r>
          </w:p>
        </w:tc>
        <w:tc>
          <w:tcPr>
            <w:tcW w:type="dxa" w:w="1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51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SRA Toolkit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3.0.5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SRA 数据下载（prefetch）与格式转换（fasterq-dump）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FastQC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0.12.1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原始测序数据质量评估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MultiQC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1.15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汇总多个样本的质控报告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STAR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2.7.10b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RNA-seq 剪接感知比对 / 基因组索引构建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SAMtools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1.18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BAM 文件查看与统计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featureCounts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2.0.6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基因水平 read 计数（subread 包）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pigz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2.8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并行 gzip 压缩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4.5.3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统计计算环境（r_env）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DESeq2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1.50.2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负二项模型差异表达分析（Bioconductor）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Python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3.12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可视化脚本运行环境（pandas / matplotlib / seaborn）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2.3 参考基因组与注释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参考基因组采用小鼠 GRCm39（primary assembly），基因注释采用 GENCODE 第 M33 版，均从 EBI 官方 FTP 下载。基因组 FASTA 解压后约 2.6 GB，注释 GTF 约 868 MB；二者经完整性校验（字节数与官方一致）后用于建索引。</w:t>
      </w:r>
    </w:p>
    <w:p>
      <w:pPr>
        <w:pStyle w:val="Heading1"/>
        <w:spacing w:after="160" w:before="320"/>
      </w:pPr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三、分析流程与方法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整体流程为：原始数据下载 → 参考基因组与索引 → SRA 转 FASTQ → STAR 比对 → featureCounts 定量 → 质控汇总 → DESeq2 差异分析 → 可视化。所有计算步骤均封装为 PBS 作业脚本，通过 qsub 提交至 cn1 队列执行，作业日志完整留档，保证可复现。</w:t>
      </w:r>
    </w:p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3.1 原始数据下载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使用 SRA Toolkit 的 prefetch 从 NCBI 下载 12 个样本的 SRA 原始数据（共约 21.7 GB），脚本以 nohup 挂至后台过夜执行，内置断点续传与失败重试。校园网带宽下全程约 1.5 小时。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prefetch -O raw_data SRR1552444   # 下载单个样本（其余 11 个同法）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ls raw_data/ | wc -l              # 验收：12 个样本目录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du -sh raw_data/                  # 验收：共约 22 G</w:t>
      </w:r>
    </w:p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3.2 STAR 索引构建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比对前需先构建基因组索引。STAR 的 genomeGenerate 模式读取基因组 FASTA 与 GTF 注释，将序列与剪接位点信息编译为二进制索引（约 25 GB）。该步骤内存需求约 30 GB，在 cn1 上以 16 线程运行约 25 分钟完成。核心参数如下表。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00"/>
      </w:tblGrid>
      <w:tr>
        <w:tc>
          <w:tcPr>
            <w:tcW w:type="dxa" w:w="2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参数</w:t>
            </w:r>
          </w:p>
        </w:tc>
        <w:tc>
          <w:tcPr>
            <w:tcW w:type="dxa" w:w="1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取值</w:t>
            </w:r>
          </w:p>
        </w:tc>
        <w:tc>
          <w:tcPr>
            <w:tcW w:type="dxa" w:w="4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--runMode genomeGenerate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指定为索引构建模式（默认模式为比对）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--genomeDir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STAR_index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索引输出目录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--genomeFastaFiles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GRCm39.fa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参考基因组序列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--sjdbGTFfile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gencode.vM33.gtf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注释文件，用于预构建剪接位点数据库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--sjdbOverhang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read 长度减 1（本数据 read 长 50 bp）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--genomeSAindexNbases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后缀数组索引深度，哺乳动物基因组标准值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--runThreadN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并行线程数（与 PBS 申请核数一致）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3.3 SRA 转 FASTQ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fasterq-dump 将 .sra 转换为标准 FASTQ 格式，单样本约 1.5 分钟。由于原始 FASTQ 未压缩（12 个样本合计约 115 GB），转换后用 pigz 压缩至约 30 GB；压缩格式与 gzip 完全兼容，下游工具可直接读取。测序量验收：每样本 2500–3100 万条 reads。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fasterq-dump -O fastq/ -e 4 --split-files raw_data/SRR1552444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pigz -p 8 fastq/*.fastq        # 并行压缩，115 G -&gt; 约 30 G</w:t>
      </w:r>
    </w:p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3.4 序列比对（作业数组）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采用 STAR 将 reads 比对至 GRCm39。STAR 专为剪接比对设计，能正确识别跨外显子接缝的 reads。12 个样本以 PBS 作业数组方式并行处理：一次提交生成 12 个子任务，每个子任务通过环境变量 PBS_ARRAYID 领取自己的样本，独占 8 核 / 45 GB 内存，单样本约 15–25 分钟；全部 12 个样本在 1 小时内完成。比对直接输出按坐标排序的 BAM 文件。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qsub -t 0-11 align.pbs    # 提交 12 个子任务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/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# align.pbs 核心命令：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STAR --genomeDir reference/STAR_index \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     --readFilesIn fastq/SRR1552444.fastq.gz \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     --readFilesCommand gunzip -c \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     --runThreadN 8 \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     --outSAMtype BAM SortedByCoordinate \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     --outFileNamePrefix alignment/SRR1552444/.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其中 --readFilesCommand gunzip -c 让 STAR 直接读取压缩的 FASTQ，解压不产生中间文件。验收指标为各样本 Log.final.out 中的唯一比对率（Uniquely mapped reads %），详见 4.1 节。</w:t>
      </w:r>
    </w:p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3.5 基因表达定量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使用 featureCounts 一次性读取全部 12 个 BAM，按 GENCODE M33 注释统计每个基因的 read 数，直接产出列对齐的计数矩阵 count_matrix.txt（行 = 基因，列 = 样本）。未显式指定的关键默认行为：仅统计唯一比对的 reads、按外显子区计数、以 gene_id 为行名、不分链（-s 0，经 STAR 链特异性检验确认为非链特异性文库）。</w:t>
      </w:r>
    </w:p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3.6 差异表达分析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差异表达分析使用 DESeq2（R 4.5.3）。实验设计公式为 ~ celltype + status，即在控制另一因子的同时分别估计细胞类型与发育时期的主效应。低表达基因（所有样本合计 count &lt; 10）预先过滤；对计数做 vst 方差稳定化变换后用于 PCA 与聚类；统计检验采用 Wald 检验，p 值经 BH 法校正。显著差异基因筛选标准：校正后 p 值（padj）&lt; 0.05 且 |log2 倍数变化| &gt; 1。共进行三组对比：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c>
          <w:tcPr>
            <w:tcW w:type="dxa" w:w="2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对比</w:t>
            </w:r>
          </w:p>
        </w:tc>
        <w:tc>
          <w:tcPr>
            <w:tcW w:type="dxa" w:w="20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因子</w:t>
            </w:r>
          </w:p>
        </w:tc>
        <w:tc>
          <w:tcPr>
            <w:tcW w:type="dxa" w:w="4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生物学含义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 vs Basal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celltype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两种上皮细胞类型的转录组差异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pregnant vs virgin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孕期相对未孕的表达变化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lactating vs virgin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泌乳期相对未孕的表达变化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3.7 质量控制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FastQC 对 12 个 FASTQ 逐一生成质控报告（24 个文件），MultiQC 汇总为单一 HTML（qc/GSE60450-QC_multiqc_report.html）。测序质量随读长衰减的模式、接头污染水平均在正常范围；详细结果见 4.1 节与附录 A 目录中的 multiqc 报告文件。</w:t>
      </w:r>
    </w:p>
    <w:p>
      <w:pPr>
        <w:pStyle w:val="Heading1"/>
        <w:spacing w:after="160" w:before="320"/>
      </w:pPr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四、结果</w:t>
      </w:r>
    </w:p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4.1 比对质量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12 个样本的 STAR 唯一比对率介于 87.55%–92.74% 之间（健康区间 75–90% 以上），表明绝大部分 reads 能唯一地定位到参考基因组，样品质量与比对参数均可靠。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400"/>
        <w:gridCol w:w="2800"/>
      </w:tblGrid>
      <w:tr>
        <w:tc>
          <w:tcPr>
            <w:tcW w:type="dxa" w:w="1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样本</w:t>
            </w:r>
          </w:p>
        </w:tc>
        <w:tc>
          <w:tcPr>
            <w:tcW w:type="dxa" w:w="2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分组</w:t>
            </w:r>
          </w:p>
        </w:tc>
        <w:tc>
          <w:tcPr>
            <w:tcW w:type="dxa" w:w="2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唯一比对率</w:t>
            </w:r>
          </w:p>
        </w:tc>
        <w:tc>
          <w:tcPr>
            <w:tcW w:type="dxa" w:w="2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总 reads（万）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Luminal_virgin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87.55%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2792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SRR1552445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Luminal_virgin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87.48%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2973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Luminal_pregnant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88.23%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2988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SRR1552447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Luminal_pregnant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89.04%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2925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SRR1552448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Luminal_lactating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92.51%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3143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SRR1552449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Luminal_lactating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92.74%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3128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SRR1552450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Basal_virgin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89.75%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3011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Basal_virgin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89.18%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2832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SRR1552452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Basal_pregnant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89.39%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3169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Basal_pregnant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89.21%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2961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Basal_lactating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90.41%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2723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SRR1552455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Basal_lactating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90.51%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2543</w:t>
            </w:r>
          </w:p>
        </w:tc>
      </w:tr>
    </w:tbl>
    <w:p>
      <w:pPr>
        <w:spacing w:after="200" w:line="280"/>
      </w:pPr>
      <w:r>
        <w:rPr>
          <w:rFonts w:ascii="Times New Roman" w:cs="Times New Roman" w:eastAsia="SimSun" w:hAnsi="Times New Roman"/>
          <w:i/>
          <w:iCs/>
          <w:color w:val="8496B0"/>
          <w:sz w:val="20"/>
          <w:szCs w:val="20"/>
        </w:rPr>
        <w:t xml:space="preserve">注：featureCounts 统计中 Assigned 比例（约占总 reads 的 65–75%）以全部 reads 为分母；以唯一比对 reads 为分母则约 84% 落入基因区。其余为多重比对（约 24%，短读长与基因家族同源性所致，属本数据正常水平）、基因间区与重叠歧义 reads。</w:t>
      </w:r>
    </w:p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4.2 样本聚类与 PCA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对 vst 变换后的表达矩阵（前 500 高变基因）进行 PCA 分析（图 1）。PC1 轴上 Luminal 与 Basal 两类细胞截然分离，解释度最高的变异来自细胞类型而非发育时期；每个生物学重复与其同组样本紧密聚集，表明重复性良好。样本距离热图（图 2，前 1000 高变基因）给出相同结论：聚类树首先按细胞类型分叉，其次按时期聚集，未见离群样本。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8496B0"/>
          <w:sz w:val="20"/>
          <w:szCs w:val="20"/>
        </w:rPr>
        <w:t xml:space="preserve">图1  PCA 分析：按细胞类型与时期着色，PC1 清晰分离 Basal 与 Luminal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8496B0"/>
          <w:sz w:val="20"/>
          <w:szCs w:val="20"/>
        </w:rPr>
        <w:t xml:space="preserve">图2  样本距离热图（Top 1000 高变基因）：同组重复聚为一类</w:t>
      </w:r>
    </w:p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4.3 差异表达统计与火山图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三组对比检出的差异表达基因（DEGs，padj &lt; 0.05 且 |log2FC| &gt; 1）统计如下表。细胞类型差异（8604 个 DEGs）数量级远高于发育时期差异（1943 与 3224 个），与原文“两类上皮细胞转录组本质不同”的结论一致。火山图（图 3–5）中，显著上调与下调基因清晰分离于两翼。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00"/>
      </w:tblGrid>
      <w:tr>
        <w:tc>
          <w:tcPr>
            <w:tcW w:type="dxa" w:w="2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对比</w:t>
            </w:r>
          </w:p>
        </w:tc>
        <w:tc>
          <w:tcPr>
            <w:tcW w:type="dxa" w:w="1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上调</w:t>
            </w:r>
          </w:p>
        </w:tc>
        <w:tc>
          <w:tcPr>
            <w:tcW w:type="dxa" w:w="18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下调</w:t>
            </w:r>
          </w:p>
        </w:tc>
        <w:tc>
          <w:tcPr>
            <w:tcW w:type="dxa" w:w="2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合计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Luminal vs Basal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3480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5124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8604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pregnant vs virgin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731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1212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1943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lactating vs virgin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1568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1656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3224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40957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8496B0"/>
          <w:sz w:val="20"/>
          <w:szCs w:val="20"/>
        </w:rPr>
        <w:t xml:space="preserve">图3  三组对比的 DEG 数量汇总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8496B0"/>
          <w:sz w:val="20"/>
          <w:szCs w:val="20"/>
        </w:rPr>
        <w:t xml:space="preserve">图4  火山图：Luminal vs Basal（差异最悬殊的一组）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8496B0"/>
          <w:sz w:val="20"/>
          <w:szCs w:val="20"/>
        </w:rPr>
        <w:t xml:space="preserve">图5  火山图：pregnant vs virgin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8496B0"/>
          <w:sz w:val="20"/>
          <w:szCs w:val="20"/>
        </w:rPr>
        <w:t xml:space="preserve">图6  火山图：lactating vs virgin</w:t>
      </w:r>
    </w:p>
    <w:p>
      <w:pPr>
        <w:pStyle w:val="Heading2"/>
        <w:spacing w:after="120" w:before="240"/>
      </w:pPr>
      <w:r>
        <w:rPr>
          <w:rFonts w:ascii="Times New Roman" w:cs="Times New Roman" w:eastAsia="SimHei" w:hAnsi="Times New Roman"/>
          <w:b/>
          <w:bCs/>
          <w:color w:val="2E5395"/>
          <w:sz w:val="26"/>
          <w:szCs w:val="26"/>
        </w:rPr>
        <w:t xml:space="preserve">4.4 Top 差异基因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Luminal vs Basal 最显著的 Top 20 差异基因表达热图（图 6）显示：标记基因在两类细胞间呈完全相反的表达模式，同一细胞类型内三个时期的表达则相对接近。全部 Top 50 差异基因列表已导出为 CSV 与 Markdown 表格（results/top50_*.csv/.md），完整统计结果见 results/*_results.csv。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8496B0"/>
          <w:sz w:val="20"/>
          <w:szCs w:val="20"/>
        </w:rPr>
        <w:t xml:space="preserve">图7  Top 20 DEGs 表达热图（Z-score 标准化）：细胞类型间表达模式截然相反</w:t>
      </w:r>
    </w:p>
    <w:p>
      <w:pPr>
        <w:pStyle w:val="Heading1"/>
        <w:spacing w:after="160" w:before="320"/>
      </w:pPr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五、讨论与局限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主要发现：Luminal 与 Basal 上皮细胞的转录组差异极为显著（8604 个 DEGs），是数据中占主导地位的变异来源；发育时期引起的表达变化相对温和，但泌乳期 vs 未孕（3224 个 DEGs）明显多于孕期 vs 未孕（1943 个），提示泌乳启动伴随更大的转录组重编程。该定性格局与 Fu et al.（2015）原文一致。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本分析的局限：其一，每条件仅 2 个生物学重复，统计功效有限，部分中等效应基因可能未达显著；其二，50 bp 单端短读长导致多重比对比例偏高（约 24%），损失了一部分可定量基因；其三，结果以 Ensembl gene_id 表示，尚未注释为基因符号，也未进行 GO/KEGG 功能富集分析；其四，DESeq2 设计仅含主效应，未建模交互项。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可改进方向：增加生物学重复；采用 Salmon / kallisto 伪比对加速流程；用 clusterProfiler 做功能富集以解释通路层面的变化；引入 gene symbol 注释提升结果可读性。</w:t>
      </w:r>
    </w:p>
    <w:p>
      <w:pPr>
        <w:pStyle w:val="Heading1"/>
        <w:spacing w:after="160" w:before="320"/>
      </w:pPr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六、问题排查记录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复现过程中记录的真实问题如下。这些案例覆盖了环境配置、版本兼容、数据解析与可视化四类典型故障，是本次训练的核心收获之一。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00"/>
      </w:tblGrid>
      <w:tr>
        <w:tc>
          <w:tcPr>
            <w:tcW w:type="dxa" w:w="2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问题</w:t>
            </w:r>
          </w:p>
        </w:tc>
        <w:tc>
          <w:tcPr>
            <w:tcW w:type="dxa" w:w="34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根因</w:t>
            </w:r>
          </w:p>
        </w:tc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解决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新版 Miniconda 无法安装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服务器为 CentOS 7（glibc 2.17），新安装器要求 glibc ≥ 2.28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改用 2023 年旧版安装包（py311_23.11.0）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conda 镜像返回 403/404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所选镜像源缺少 bioconda 频道或被限流（笔记本阶段）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更换可用镜像；迁移服务器后直连官方源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multiqc 启动报缺少 pkg_resources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新版 setuptools 移除了该模块，而 multiqc 1.15 依赖它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conda 安装 setuptools&lt;70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计算节点 pigz: command not found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登录节点与计算节点系统软件不一致；且脚本未设严格模式，失败后继续打印“完工”造成假完工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软件一律装进 conda 环境（随共享存储可用）；日志留哨兵行核对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R 脚本找不到计数矩阵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脚本按教程写作 counts_matrix.txt，实际产出为 count_matrix.txt；且 featureCounts 前 5 列为基因注释列，需先剔除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修改路径；读入后只保留样本列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样本名提取全部失败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脚本按下切分文件名，实际文件名以点号连接（SRR1552444.Aligned...）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改用按点号切分的正则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火山图报 Axis limits cannot be NaN or Inf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极显著基因 padj 数值下溢为 0，-log10(0) 为正无穷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padj 截断下限 1e-300 后再取对数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笔记本阶段反复 segfault / 文件损坏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WSL 2 跨 9p 文件系统运行计算密集型工具不稳定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整体迁移至实验室集群，根因消失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七、技能收获总结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通过本次复现，系统掌握了以下技能（按获得顺序）：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远程操作：SSH 密钥免密登录原理与配置、scp/sftp 文件传输、多客户端（PowerShell / WSL / 图形客户端）差异；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集群计算：PBS 作业脚本三段式、qsub/qstat 监控、资源申请三原则（核数跟工具、内存跟峰值、时间跟规模）、作业数组并行；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环境管理：conda 虚拟环境思想、channel 配置、CentOS 7 下的版本兼容策略；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流程工具：SRA Toolkit / FastQC / MultiQC / STAR / SAMtools / featureCounts / pigz 的职责与关键参数；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文件格式：FASTQ / FASTA / GTF / SAM-BAM / 计数矩阵的结构与相互关系；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统计方法：DESeq2 的建模思想（设计公式、标准化、离散度估计、Wald 检验、BH 校正）与 vst 变换；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排错能力：读 traceback 定位根因、区分“真完工”与“假完工”、日志哨兵与时间戳惯例；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Linux 基本功：bash 循环与变量、管道与 grep、nano 编辑、nohup 后台任务。</w:t>
      </w:r>
    </w:p>
    <w:p>
      <w:pPr>
        <w:pStyle w:val="Heading1"/>
        <w:spacing w:after="160" w:before="320"/>
      </w:pPr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附录 A  项目目录结构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~/GSE60450_project/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├── reference/           基因组、GTF 与 STAR 索引（STAR_index 约 25 G）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├── raw_data/            SRA 原始数据（12 个目录，约 22 G）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│   └── fastq/           转换并压缩后的 FASTQ（12 个 .fastq.gz，约 30 G）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├── alignment/           比对结果（每样本一个目录：BAM + Log.final.out 等）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├── counts/              count_matrix.txt 及其 summary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├── qc/                  fastqc 单项报告 + multiqc 汇总 HTML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├── results/             DESeq2 全部输出（CSV / PDF / PNG / Markdown）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├── results/figures/     火山图、MA 图、汇总图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├── scripts/             全部 PBS 脚本与分析脚本（共 11 个）</w:t>
      </w:r>
    </w:p>
    <w:p>
      <w:pPr>
        <w:shd w:fill="F4F5F7" w:color="auto" w:val="clear"/>
        <w:spacing w:after="0" w:line="260"/>
        <w:ind w:left="240"/>
      </w:pPr>
      <w:r>
        <w:rPr>
          <w:rFonts w:ascii="Consolas" w:cs="Consolas" w:eastAsia="SimSun" w:hAnsi="Consolas"/>
          <w:color w:val="333333"/>
          <w:sz w:val="18"/>
          <w:szCs w:val="18"/>
        </w:rPr>
        <w:t xml:space="preserve">└── logs/                各作业的标准输出与报错日志</w:t>
      </w:r>
    </w:p>
    <w:p>
      <w:pPr>
        <w:pStyle w:val="Heading1"/>
        <w:spacing w:after="160" w:before="320"/>
      </w:pPr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附录 B  脚本清单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300"/>
      </w:tblGrid>
      <w:tr>
        <w:tc>
          <w:tcPr>
            <w:tcW w:type="dxa" w:w="2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脚本</w:t>
            </w:r>
          </w:p>
        </w:tc>
        <w:tc>
          <w:tcPr>
            <w:tcW w:type="dxa" w:w="42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2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提交方式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overnight_download.sh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过夜下载基因组与 12 个 SRA（nohup）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bash + nohup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star_index.pbs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STAR 基因组索引（16 核 / 50 G）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qsub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sra2fq.pbs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SRA 转 FASTQ 并压缩（4 核 / 16 G）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qsub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align.pbs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STAR 比对作业数组（8 核 / 45 G × 12）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qsub -t 0-11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count.pbs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featureCounts 基因定量（8 核 / 16 G）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qsub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qc.pbs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fastqc 6 路并行 + multiqc 汇总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qsub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deseq.pbs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DESeq2 差异分析（4 核 / 16 G）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qsub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viz.pbs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火山图 / MA 图 / Top 表生成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qsub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heatmap_png.pbs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热图 PNG 版补出（报告插图用）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qsub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deseq2_server.R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DESeq2 分析主体（服务器适配版）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Rscript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visualization_server.py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Python 可视化（服务器适配版）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python3</w:t>
            </w:r>
          </w:p>
        </w:tc>
      </w:tr>
    </w:tbl>
    <w:p>
      <w:pPr>
        <w:spacing w:after="200" w:line="280"/>
      </w:pPr>
      <w:r>
        <w:rPr>
          <w:rFonts w:ascii="Times New Roman" w:cs="Times New Roman" w:eastAsia="SimSun" w:hAnsi="Times New Roman"/>
          <w:i/>
          <w:iCs/>
          <w:color w:val="8496B0"/>
          <w:sz w:val="20"/>
          <w:szCs w:val="20"/>
        </w:rPr>
        <w:t xml:space="preserve">全部原始脚本与日志存放于服务器 ~/GSE60450_project/，本报告与插图另存于本地工作区。数据分析环境可凭 conda 环境定义文件一键重建。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Times New Roman" w:cs="Times New Roman" w:eastAsia="SimSun" w:hAnsi="Times New Roman"/>
        <w:color w:val="8496B0"/>
        <w:sz w:val="18"/>
        <w:szCs w:val="18"/>
      </w:rPr>
      <w:t xml:space="preserve">GSE60450 小鼠乳腺 RNA-seq 复现报告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9aa660a4853b32d01943b796fa14b8ecbb10366.png"/><Relationship Id="rId12" Type="http://schemas.openxmlformats.org/officeDocument/2006/relationships/image" Target="media/76f5c93029b0fd11a5efda8d912900f810a6b979.png"/><Relationship Id="rId13" Type="http://schemas.openxmlformats.org/officeDocument/2006/relationships/image" Target="media/05dd4952243bfdec8b64a81c7940110ada46cb15.png"/><Relationship Id="rId14" Type="http://schemas.openxmlformats.org/officeDocument/2006/relationships/image" Target="media/f04a53acf49244eccb2c2cc01f89624779a40af0.png"/><Relationship Id="rId15" Type="http://schemas.openxmlformats.org/officeDocument/2006/relationships/image" Target="media/f5226651dc6929604651317edb959316358c3270.png"/><Relationship Id="rId16" Type="http://schemas.openxmlformats.org/officeDocument/2006/relationships/image" Target="media/a1cea0e6479db70aa39b7ddd8893ec99702ea374.png"/><Relationship Id="rId17" Type="http://schemas.openxmlformats.org/officeDocument/2006/relationships/image" Target="media/2ab7f67be5c59a22186bfd0b4a3f4d39483ed76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2026-09-27T06:30:52.137Z</dcterms:created>
  <dcterms:modified xsi:type="dcterms:W3CDTF">2026-09-27T06:30:52.139Z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