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/>
        <w:jc w:val="center"/>
      </w:pPr>
      <w:r>
        <w:drawing>
          <wp:inline xmlns:a="http://schemas.openxmlformats.org/drawingml/2006/main" xmlns:pic="http://schemas.openxmlformats.org/drawingml/2006/picture">
            <wp:extent cx="608076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logo_timb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Open Sans" w:hAnsi="Open Sans" w:eastAsia="Open Sans"/>
          <w:b/>
          <w:i w:val="0"/>
          <w:color w:val="006C9B"/>
          <w:sz w:val="20"/>
        </w:rPr>
        <w:t>FIXED PRICE</w:t>
      </w:r>
    </w:p>
    <w:p>
      <w:pPr>
        <w:spacing w:after="28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56"/>
        </w:rPr>
        <w:t>CONSTRUCTION PROPOSAL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6B6B6B"/>
          <w:sz w:val="22"/>
        </w:rPr>
        <w:t>{NICHE_STATEMENT}</w:t>
      </w:r>
    </w:p>
    <w:p>
      <w:pPr>
        <w:spacing w:before="360" w:after="20"/>
        <w:jc w:val="center"/>
      </w:pPr>
      <w:r>
        <w:rPr>
          <w:rFonts w:ascii="Open Sans" w:hAnsi="Open Sans" w:eastAsia="Open Sans"/>
          <w:b w:val="0"/>
          <w:i w:val="0"/>
          <w:color w:val="6B6B6B"/>
          <w:sz w:val="16"/>
        </w:rPr>
        <w:t>Prepared for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006C9B"/>
          <w:sz w:val="36"/>
        </w:rPr>
        <w:t>{CLIENT_SALUTATION}</w:t>
      </w:r>
    </w:p>
    <w:p>
      <w:pPr>
        <w:spacing w:after="20"/>
        <w:jc w:val="center"/>
      </w:pPr>
      <w:r>
        <w:rPr>
          <w:rFonts w:ascii="Open Sans" w:hAnsi="Open Sans" w:eastAsia="Open Sans"/>
          <w:b w:val="0"/>
          <w:i w:val="0"/>
          <w:color w:val="6B6B6B"/>
          <w:sz w:val="16"/>
        </w:rPr>
        <w:t>At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2B2B2B"/>
          <w:sz w:val="28"/>
        </w:rPr>
        <w:t>{PROJECT_ADDRESS}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6B6B6B"/>
          <w:sz w:val="16"/>
        </w:rPr>
        <w:t>{QUOTE_NUMBER}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6B6B6B"/>
          <w:sz w:val="16"/>
        </w:rPr>
        <w:t>{DATE}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1097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Open Sans" w:hAnsi="Open Sans" w:eastAsia="Open Sans"/>
          <w:b/>
          <w:i w:val="0"/>
          <w:color w:val="006C9B"/>
          <w:sz w:val="16"/>
        </w:rPr>
        <w:t>PROPOSAL OVERVIEW</w:t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P R O J E C T   S N A P S H O 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536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220" w:type="dxa"/>
              <w:start w:w="220" w:type="dxa"/>
              <w:bottom w:w="220" w:type="dxa"/>
              <w:end w:w="220" w:type="dxa"/>
            </w:tcMar>
          </w:tcPr>
          <w:p/>
          <w:p>
            <w:pPr>
              <w:spacing w:after="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5"/>
              </w:rPr>
              <w:t>CLIENT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1"/>
              </w:rPr>
              <w:t>{CLIENT_SALUTATION}</w:t>
            </w:r>
          </w:p>
          <w:p>
            <w:pPr>
              <w:spacing w:after="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5"/>
              </w:rPr>
              <w:t>PROJECT ADDRESS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1"/>
              </w:rPr>
              <w:t>{PROJECT_ADDRESS}</w:t>
            </w:r>
          </w:p>
          <w:p>
            <w:pPr>
              <w:spacing w:after="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5"/>
              </w:rPr>
              <w:t>QUOTE NUMBER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1"/>
              </w:rPr>
              <w:t>{QUOTE_NUMBER}</w:t>
            </w:r>
          </w:p>
          <w:p>
            <w:pPr>
              <w:spacing w:after="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5"/>
              </w:rPr>
              <w:t>DATE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1"/>
              </w:rPr>
              <w:t>{DATE}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FFFFF"/>
            <w:tcMar>
              <w:top w:w="220" w:type="dxa"/>
              <w:start w:w="220" w:type="dxa"/>
              <w:bottom w:w="220" w:type="dxa"/>
              <w:end w:w="220" w:type="dxa"/>
            </w:tcMar>
          </w:tcPr>
          <w:p/>
          <w:p>
            <w:pPr>
              <w:spacing w:after="20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6"/>
              </w:rPr>
              <w:t>INVESTMENT SUMMARY</w:t>
            </w:r>
          </w:p>
          <w:p>
            <w:pPr>
              <w:spacing w:after="120"/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006C9B"/>
                <w:sz w:val="44"/>
              </w:rPr>
              <w:t>{TOTAL_INC_GST}</w:t>
            </w:r>
          </w:p>
          <w:p>
            <w:pPr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6B6B6B"/>
                <w:sz w:val="18"/>
              </w:rPr>
              <w:t>(inc GST)</w:t>
            </w:r>
          </w:p>
          <w:p>
            <w:pPr>
              <w:spacing w:before="320" w:line="276" w:lineRule="auto"/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The full scope, assumptions, inclusions, allowances and payment schedule are set out in the following pages.</w:t>
            </w:r>
          </w:p>
        </w:tc>
      </w:tr>
    </w:tbl>
    <w:p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DOCUMENT GUIDE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P R O P O S A L   C O N T E N T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01   Introduction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02   Fixed Price &amp; Scope of Work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03   Why Build With Blue Leaf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04   Our Guarantees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05   Online Project Management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06   Inclusions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07   Prime Cost &amp; Provisional Sums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08   Optional Upgrades &amp; Cost Saving Alternatives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09   Construction Schedule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10   Testimonials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11   Licences &amp; Associations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12   Responsibilities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13   Exclusions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14   Quote Summary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15   Fee Schedule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16   The Next Step</w:t>
      </w:r>
    </w:p>
    <w:p>
      <w:pPr>
        <w:spacing w:after="8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17   Summary</w:t>
      </w:r>
    </w:p>
    <w:p>
      <w:r/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1005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timber_inside_cle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I N T R O D U C T I O 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 xml:space="preserve">Dear </w:t>
      </w:r>
      <w:r/>
      <w:r>
        <w:rPr>
          <w:rFonts w:ascii="Open Sans" w:hAnsi="Open Sans" w:eastAsia="Open Sans"/>
          <w:b w:val="0"/>
          <w:i w:val="0"/>
          <w:color w:val="2B2B2B"/>
          <w:sz w:val="21"/>
        </w:rPr>
        <w:t>{CLIENT_SALUTATION}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{OPENING_PARAGRAPH}</w:t>
      </w:r>
    </w:p>
    <w:p>
      <w:pPr>
        <w:spacing w:line="288" w:lineRule="auto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This proposal and the pricing herein shall remain valid for a period of 30 days following the date shown above.</w:t>
      </w:r>
    </w:p>
    <w:p>
      <w:pPr>
        <w:spacing w:before="36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Yours sincerely,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{SIGNATORIES}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FIXED PRICE &amp; SCOPE OF WORK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F I X E D   P R I C E   &amp;   S C O P 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20"/>
        <w:jc w:val="center"/>
      </w:pPr>
      <w:r>
        <w:rPr>
          <w:rFonts w:ascii="Open Sans" w:hAnsi="Open Sans" w:eastAsia="Open Sans"/>
          <w:b/>
          <w:i w:val="0"/>
          <w:color w:val="006C9B"/>
          <w:sz w:val="18"/>
        </w:rPr>
        <w:t>Your total fixed price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006C9B"/>
          <w:sz w:val="48"/>
        </w:rPr>
        <w:t>{TOTAL_INC_GST}</w:t>
      </w:r>
    </w:p>
    <w:p>
      <w:pPr>
        <w:spacing w:after="360"/>
        <w:jc w:val="center"/>
      </w:pPr>
      <w:r>
        <w:rPr>
          <w:rFonts w:ascii="Open Sans" w:hAnsi="Open Sans" w:eastAsia="Open Sans"/>
          <w:b w:val="0"/>
          <w:i w:val="0"/>
          <w:color w:val="6B6B6B"/>
          <w:sz w:val="18"/>
        </w:rPr>
        <w:t>(inc GST)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{VARIATIONS_CLAUSE}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1005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framing_cle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WHY BUILD WITH BLUE LEAF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4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2"/>
              </w:rPr>
              <w:t>Craftsmanship</w:t>
            </w:r>
          </w:p>
          <w:p>
            <w:pPr>
              <w:spacing w:line="264" w:lineRule="auto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7"/>
              </w:rPr>
              <w:t>Built around quality workmanship and careful supervision.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FFFFF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4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2"/>
              </w:rPr>
              <w:t>Energy &amp; Comfort</w:t>
            </w:r>
          </w:p>
          <w:p>
            <w:pPr>
              <w:spacing w:line="264" w:lineRule="auto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7"/>
              </w:rPr>
              <w:t>Detailing that supports better-performing homes.</w:t>
            </w:r>
          </w:p>
        </w:tc>
      </w:tr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4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2"/>
              </w:rPr>
              <w:t>Communication</w:t>
            </w:r>
          </w:p>
          <w:p>
            <w:pPr>
              <w:spacing w:line="264" w:lineRule="auto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7"/>
              </w:rPr>
              <w:t>Clear updates, fewer surprises, better decisions.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FFFFF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4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2"/>
              </w:rPr>
              <w:t>Boutique Focus</w:t>
            </w:r>
          </w:p>
          <w:p>
            <w:pPr>
              <w:spacing w:line="264" w:lineRule="auto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7"/>
              </w:rPr>
              <w:t>Limited project load and direct involvement.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{WHY_BUILD_WITH_US}</w:t>
      </w:r>
    </w:p>
    <w:p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CONFIDENCE AFTER HANDOVER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O U R   G U A R A N T E E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280"/>
        <w:jc w:val="center"/>
      </w:pPr>
      <w:r>
        <w:rPr>
          <w:rFonts w:ascii="Open Sans" w:hAnsi="Open Sans" w:eastAsia="Open Sans"/>
          <w:b w:val="0"/>
          <w:i w:val="0"/>
          <w:color w:val="2B2B2B"/>
          <w:sz w:val="22"/>
        </w:rPr>
        <w:t>We do not just build homes. We stand behind the work long after handover.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{#GUARANTEES}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200" w:type="dxa"/>
              <w:bottom w:w="160" w:type="dxa"/>
              <w:end w:w="20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4"/>
              </w:rPr>
              <w:t>{GUARANTEE_HEADING}</w:t>
            </w:r>
          </w:p>
        </w:tc>
      </w:tr>
      <w:tr>
        <w:tc>
          <w:tcPr>
            <w:tcW w:type="dxa" w:w="9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200" w:type="dxa"/>
              <w:bottom w:w="160" w:type="dxa"/>
              <w:end w:w="20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{GUARANTEE_TEXT}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{/GUARANTEES}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914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ONLINE PROJECT MANAGEMENT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{ONLINE_PM_BODY}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78"/>
        <w:gridCol w:w="3278"/>
        <w:gridCol w:w="3278"/>
      </w:tblGrid>
      <w:tr>
        <w:tc>
          <w:tcPr>
            <w:tcW w:type="dxa" w:w="327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40" w:type="dxa"/>
              <w:start w:w="120" w:type="dxa"/>
              <w:bottom w:w="140" w:type="dxa"/>
              <w:end w:w="120" w:type="dxa"/>
            </w:tcMar>
          </w:tcPr>
          <w:p/>
          <w:p>
            <w:pPr>
              <w:spacing w:after="4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0"/>
              </w:rPr>
              <w:t>Progress</w:t>
            </w:r>
          </w:p>
          <w:p>
            <w:pPr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6"/>
              </w:rPr>
              <w:t>Live updates and photos.</w:t>
            </w:r>
          </w:p>
        </w:tc>
        <w:tc>
          <w:tcPr>
            <w:tcW w:type="dxa" w:w="327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40" w:type="dxa"/>
              <w:start w:w="120" w:type="dxa"/>
              <w:bottom w:w="140" w:type="dxa"/>
              <w:end w:w="120" w:type="dxa"/>
            </w:tcMar>
          </w:tcPr>
          <w:p/>
          <w:p>
            <w:pPr>
              <w:spacing w:after="4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0"/>
              </w:rPr>
              <w:t>Selections</w:t>
            </w:r>
          </w:p>
          <w:p>
            <w:pPr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6"/>
              </w:rPr>
              <w:t>Decisions captured clearly.</w:t>
            </w:r>
          </w:p>
        </w:tc>
        <w:tc>
          <w:tcPr>
            <w:tcW w:type="dxa" w:w="327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40" w:type="dxa"/>
              <w:start w:w="120" w:type="dxa"/>
              <w:bottom w:w="140" w:type="dxa"/>
              <w:end w:w="120" w:type="dxa"/>
            </w:tcMar>
          </w:tcPr>
          <w:p/>
          <w:p>
            <w:pPr>
              <w:spacing w:after="4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0"/>
              </w:rPr>
              <w:t>Variations</w:t>
            </w:r>
          </w:p>
          <w:p>
            <w:pPr>
              <w:jc w:val="center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6"/>
              </w:rPr>
              <w:t>No hidden surprises.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THE DETAIL BEHIND THE PROPOSAL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I N C L U S I O N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24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The inclusions below are structured to give you a clear view of what has been allowed for in the proposal.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{#INCLUSION_SECTIONS}</w:t>
      </w:r>
    </w:p>
    <w:p>
      <w:pPr>
        <w:spacing w:after="120"/>
      </w:pPr>
      <w:r>
        <w:rPr>
          <w:rFonts w:ascii="Open Sans" w:hAnsi="Open Sans" w:eastAsia="Open Sans"/>
          <w:b/>
          <w:i w:val="0"/>
          <w:color w:val="006C9B"/>
          <w:sz w:val="32"/>
        </w:rPr>
        <w:t>{SECTION_HEADING}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{#SECTION_ITEMS}</w:t>
      </w:r>
    </w:p>
    <w:p>
      <w:pPr>
        <w:pStyle w:val="ListBullet"/>
      </w:pPr>
      <w:r>
        <w:rPr>
          <w:rFonts w:ascii="Open Sans" w:hAnsi="Open Sans" w:eastAsia="Open Sans"/>
          <w:b w:val="0"/>
          <w:i w:val="0"/>
          <w:color w:val="2B2B2B"/>
          <w:sz w:val="19"/>
        </w:rPr>
        <w:t>{ITEM_TEXT}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{/SECTION_ITEMS}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{/INCLUSION_SECTIONS}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914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f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PRIME COST &amp; PROVISIONAL SUMS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20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The following allowances are included for items not yet fully selected or confirmed. Any adjustment is treated as a variation.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{#PC_SUMS}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624"/>
        <w:gridCol w:w="2448"/>
      </w:tblGrid>
      <w:tr>
        <w:trPr>
          <w:tblHeader w:val="true"/>
        </w:trPr>
        <w:tc>
          <w:tcPr>
            <w:tcW w:type="dxa" w:w="4917"/>
            <w:shd w:fill="006C9B"/>
            <w:tcMar>
              <w:top w:w="100" w:type="dxa"/>
              <w:start w:w="120" w:type="dxa"/>
              <w:bottom w:w="100" w:type="dxa"/>
              <w:end w:w="120" w:type="dxa"/>
            </w:tcMar>
          </w:tcPr>
        </w:tc>
        <w:tc>
          <w:tcPr>
            <w:tcW w:type="dxa" w:w="4917"/>
            <w:shd w:fill="006C9B"/>
            <w:tcMar>
              <w:top w:w="100" w:type="dxa"/>
              <w:start w:w="120" w:type="dxa"/>
              <w:bottom w:w="100" w:type="dxa"/>
              <w:end w:w="120" w:type="dxa"/>
            </w:tcMar>
          </w:tcPr>
        </w:tc>
      </w:tr>
      <w:tr>
        <w:tc>
          <w:tcPr>
            <w:tcW w:type="dxa" w:w="4917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{PC_DESCRIPTION}</w:t>
            </w:r>
          </w:p>
        </w:tc>
        <w:tc>
          <w:tcPr>
            <w:tcW w:type="dxa" w:w="4917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{PC_AMOUNT}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{/PC_SUMS}</w:t>
      </w:r>
    </w:p>
    <w:p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OPTIONAL UPGRADES &amp; COST SAVING ALTERNATIVES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O P T I O N A L   I T E M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20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Below are items not included in the base contract price, but which can be added or reviewed before contract finalisation.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{#OPTIONAL_ITEMS}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160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0"/>
              </w:rPr>
              <w:t>{OPTION_DESCRIPTION}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20"/>
              </w:rPr>
              <w:t>{OPTION_PRICE}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{/OPTIONAL_ITEMS}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960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framing_cle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C O N S T R U C T I O N   S C H E D U L 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{CONSTRUCTION_SCHEDULE_INTRO}</w:t>
      </w:r>
    </w:p>
    <w:p>
      <w:pPr>
        <w:spacing w:before="200" w:after="0"/>
        <w:jc w:val="center"/>
      </w:pPr>
      <w:r>
        <w:rPr>
          <w:rFonts w:ascii="Open Sans" w:hAnsi="Open Sans" w:eastAsia="Open Sans"/>
          <w:b/>
          <w:i w:val="0"/>
          <w:color w:val="006C9B"/>
          <w:sz w:val="16"/>
        </w:rPr>
        <w:t>Indicative total duration</w:t>
      </w:r>
    </w:p>
    <w:p>
      <w:pPr>
        <w:spacing w:after="120"/>
        <w:jc w:val="center"/>
      </w:pPr>
      <w:r>
        <w:rPr>
          <w:rFonts w:ascii="Open Sans" w:hAnsi="Open Sans" w:eastAsia="Open Sans"/>
          <w:b/>
          <w:i w:val="0"/>
          <w:color w:val="006C9B"/>
          <w:sz w:val="40"/>
        </w:rPr>
        <w:t>{TOTAL_WEEKS}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{#CONSTRUCTION_SCHEDULE}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016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B9CEDB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22"/>
              </w:rPr>
              <w:t>{PHASE_LABEL}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B9CEDB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20"/>
              </w:rPr>
              <w:t>{PHASE_WEEKS}</w:t>
            </w:r>
          </w:p>
        </w:tc>
      </w:tr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{#TASKS}</w:t>
            </w:r>
          </w:p>
          <w:p>
            <w:pPr>
              <w:pStyle w:val="ListBullet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{TASK_NAME}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{/TASKS}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0"/>
              <w:jc w:val="right"/>
            </w:pPr>
            <w:r>
              <w:rPr>
                <w:rFonts w:ascii="Open Sans" w:hAnsi="Open Sans" w:eastAsia="Open Sans"/>
                <w:b w:val="0"/>
                <w:i w:val="0"/>
                <w:color w:val="6B6B6B"/>
                <w:sz w:val="15"/>
              </w:rPr>
              <w:t>Starts week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{START_WEEK}</w:t>
            </w:r>
          </w:p>
          <w:p>
            <w:pPr>
              <w:spacing w:after="0"/>
              <w:jc w:val="right"/>
            </w:pPr>
            <w:r>
              <w:rPr>
                <w:rFonts w:ascii="Open Sans" w:hAnsi="Open Sans" w:eastAsia="Open Sans"/>
                <w:b w:val="0"/>
                <w:i w:val="0"/>
                <w:color w:val="6B6B6B"/>
                <w:sz w:val="15"/>
              </w:rPr>
              <w:t>Duration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{TASK_WEEKS}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{/CONSTRUCTION_SCHEDULE}</w:t>
      </w:r>
    </w:p>
    <w:p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CLIENT EXPERIENCE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W H A T   O U R   C L I E N T S   S A 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{#TESTIMONIALS}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35"/>
      </w:tblGrid>
      <w:tr>
        <w:tc>
          <w:tcPr>
            <w:tcW w:type="dxa" w:w="9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280" w:type="dxa"/>
              <w:start w:w="280" w:type="dxa"/>
              <w:bottom w:w="280" w:type="dxa"/>
              <w:end w:w="28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Playfair Display" w:hAnsi="Playfair Display" w:eastAsia="Playfair Display"/>
                <w:b w:val="0"/>
                <w:i w:val="0"/>
                <w:color w:val="B9CEDB"/>
                <w:sz w:val="68"/>
              </w:rPr>
              <w:t>“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8"/>
              </w:rPr>
              <w:t>{TESTIMONIAL_TEXT}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/>
                <w:i w:val="0"/>
                <w:color w:val="006C9B"/>
                <w:sz w:val="18"/>
              </w:rPr>
              <w:t>{TESTIMONIAL_AUTHOR}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{/TESTIMONIALS}</w:t>
      </w:r>
    </w:p>
    <w:p>
      <w:r/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10058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timber_inside_cle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LICENCES &amp; ASSOCIATIONS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24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Blue Leaf Building is backed by relevant licences, industry relationships and supplier networks that support quality, compliance and delivery.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{#LICENCES}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35"/>
      </w:tblGrid>
      <w:tr>
        <w:tc>
          <w:tcPr>
            <w:tcW w:type="dxa" w:w="9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50" w:type="dxa"/>
              <w:start w:w="180" w:type="dxa"/>
              <w:bottom w:w="150" w:type="dxa"/>
              <w:end w:w="18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20"/>
              </w:rPr>
              <w:t>{LICENCE_TEXT}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{/LICENCES}</w:t>
      </w:r>
    </w:p>
    <w:p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CLEAR ROLES FROM THE START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R E S P O N S I B I L I T I E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006C9B"/>
            <w:tcMar>
              <w:top w:w="120" w:type="dxa"/>
              <w:start w:w="140" w:type="dxa"/>
              <w:bottom w:w="120" w:type="dxa"/>
              <w:end w:w="14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8"/>
              </w:rPr>
              <w:t>Our responsibilities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006C9B"/>
            <w:tcMar>
              <w:top w:w="120" w:type="dxa"/>
              <w:start w:w="140" w:type="dxa"/>
              <w:bottom w:w="120" w:type="dxa"/>
              <w:end w:w="14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8"/>
              </w:rPr>
              <w:t>Your responsibilities</w:t>
            </w:r>
          </w:p>
        </w:tc>
      </w:tr>
      <w:tr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{#RESPONSIBILITIES_OURS}</w:t>
            </w:r>
          </w:p>
          <w:p>
            <w:pPr>
              <w:pStyle w:val="ListBullet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{RESP_TEXT}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{/RESPONSIBILITIES_OURS}</w:t>
            </w:r>
          </w:p>
        </w:tc>
        <w:tc>
          <w:tcPr>
            <w:tcW w:type="dxa" w:w="4917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60" w:type="dxa"/>
              <w:start w:w="160" w:type="dxa"/>
              <w:bottom w:w="160" w:type="dxa"/>
              <w:end w:w="16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{#RESPONSIBILITIES_YOURS}</w:t>
            </w:r>
          </w:p>
          <w:p>
            <w:pPr>
              <w:pStyle w:val="ListBullet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8"/>
              </w:rPr>
              <w:t>{RESP_TEXT}</w:t>
            </w:r>
          </w:p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FFFFFF"/>
                <w:sz w:val="2"/>
              </w:rPr>
              <w:t>{/RESPONSIBILITIES_YOURS}</w:t>
            </w:r>
          </w:p>
        </w:tc>
      </w:tr>
    </w:tbl>
    <w:p>
      <w:r/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E X C L U S I O N 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240"/>
      </w:pPr>
      <w:r>
        <w:rPr>
          <w:rFonts w:ascii="Open Sans" w:hAnsi="Open Sans" w:eastAsia="Open Sans"/>
          <w:b w:val="0"/>
          <w:i w:val="0"/>
          <w:color w:val="2B2B2B"/>
          <w:sz w:val="20"/>
        </w:rPr>
        <w:t>The following items are excluded from this proposal unless specifically noted elsewhere in the scope.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{#EXCLUSIONS}</w:t>
      </w:r>
    </w:p>
    <w:p>
      <w:pPr>
        <w:pStyle w:val="ListBullet"/>
      </w:pPr>
      <w:r>
        <w:rPr>
          <w:rFonts w:ascii="Open Sans" w:hAnsi="Open Sans" w:eastAsia="Open Sans"/>
          <w:b w:val="0"/>
          <w:i w:val="0"/>
          <w:color w:val="2B2B2B"/>
          <w:sz w:val="19"/>
        </w:rPr>
        <w:t>{EXCLUSION_TEXT}</w:t>
      </w: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FFFFFF"/>
          <w:sz w:val="2"/>
        </w:rPr>
        <w:t>{/EXCLUSIONS}</w:t>
      </w:r>
    </w:p>
    <w:p>
      <w:r>
        <w:br w:type="page"/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914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Q U O T E   S U M M A R 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624"/>
        <w:gridCol w:w="2592"/>
      </w:tblGrid>
      <w:tr>
        <w:trPr>
          <w:tblHeader w:val="true"/>
        </w:trPr>
        <w:tc>
          <w:tcPr>
            <w:tcW w:type="dxa" w:w="4917"/>
            <w:shd w:fill="006C9B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0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Category</w:t>
            </w:r>
          </w:p>
        </w:tc>
        <w:tc>
          <w:tcPr>
            <w:tcW w:type="dxa" w:w="4917"/>
            <w:shd w:fill="006C9B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0"/>
              <w:jc w:val="right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Cost inc GST</w:t>
            </w:r>
          </w:p>
        </w:tc>
      </w:tr>
      <w:tr>
        <w:tc>
          <w:tcPr>
            <w:tcW w:type="dxa" w:w="4917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{#SUMMARY_ROWS}{CATEGORY_NAME}</w:t>
            </w:r>
          </w:p>
        </w:tc>
        <w:tc>
          <w:tcPr>
            <w:tcW w:type="dxa" w:w="4917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{CATEGORY_COST_GST}{/SUMMARY_ROWS}</w:t>
            </w:r>
          </w:p>
        </w:tc>
      </w:tr>
    </w:tbl>
    <w:p>
      <w:pPr>
        <w:spacing w:before="400" w:after="0"/>
        <w:jc w:val="center"/>
      </w:pPr>
      <w:r>
        <w:rPr>
          <w:rFonts w:ascii="Open Sans" w:hAnsi="Open Sans" w:eastAsia="Open Sans"/>
          <w:b/>
          <w:i w:val="0"/>
          <w:color w:val="006C9B"/>
          <w:sz w:val="16"/>
        </w:rPr>
        <w:t>Total investment</w:t>
      </w:r>
    </w:p>
    <w:p>
      <w:pPr>
        <w:spacing w:after="120"/>
        <w:jc w:val="center"/>
      </w:pPr>
      <w:r>
        <w:rPr>
          <w:rFonts w:ascii="Open Sans" w:hAnsi="Open Sans" w:eastAsia="Open Sans"/>
          <w:b w:val="0"/>
          <w:i w:val="0"/>
          <w:color w:val="006C9B"/>
          <w:sz w:val="44"/>
        </w:rPr>
        <w:t>{TOTAL_COST_GST}</w:t>
      </w:r>
    </w:p>
    <w:p>
      <w:pPr>
        <w:jc w:val="center"/>
      </w:pPr>
      <w:r>
        <w:rPr>
          <w:rFonts w:ascii="Open Sans" w:hAnsi="Open Sans" w:eastAsia="Open Sans"/>
          <w:b w:val="0"/>
          <w:i w:val="0"/>
          <w:color w:val="6B6B6B"/>
          <w:sz w:val="18"/>
        </w:rPr>
        <w:t>(inc GST)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SCHEDULE OF PROGRESS PAYMENTS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F E E   S C H E D U L 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5040"/>
        <w:gridCol w:w="1584"/>
      </w:tblGrid>
      <w:tr>
        <w:trPr>
          <w:tblHeader w:val="true"/>
        </w:trPr>
        <w:tc>
          <w:tcPr>
            <w:tcW w:type="dxa" w:w="3278"/>
            <w:shd w:fill="006C9B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Claim</w:t>
            </w:r>
          </w:p>
        </w:tc>
        <w:tc>
          <w:tcPr>
            <w:tcW w:type="dxa" w:w="3278"/>
            <w:shd w:fill="006C9B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Milestone</w:t>
            </w:r>
          </w:p>
        </w:tc>
        <w:tc>
          <w:tcPr>
            <w:tcW w:type="dxa" w:w="3278"/>
            <w:shd w:fill="006C9B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FFFFFF"/>
                <w:sz w:val="16"/>
              </w:rPr>
              <w:t>%</w:t>
            </w:r>
          </w:p>
        </w:tc>
      </w:tr>
      <w:tr>
        <w:tc>
          <w:tcPr>
            <w:tcW w:type="dxa" w:w="3278"/>
            <w:shd w:fill="F4F7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{#FEE_SCHEDULE}{STAGE_CLAIM}</w:t>
            </w:r>
          </w:p>
        </w:tc>
        <w:tc>
          <w:tcPr>
            <w:tcW w:type="dxa" w:w="3278"/>
            <w:shd w:fill="F4F7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{MILESTONE}</w:t>
            </w:r>
          </w:p>
        </w:tc>
        <w:tc>
          <w:tcPr>
            <w:tcW w:type="dxa" w:w="3278"/>
            <w:shd w:fill="F4F7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  <w:p>
            <w:pPr>
              <w:spacing w:after="120"/>
            </w:pPr>
            <w:r>
              <w:rPr>
                <w:rFonts w:ascii="Open Sans" w:hAnsi="Open Sans" w:eastAsia="Open Sans"/>
                <w:b w:val="0"/>
                <w:i w:val="0"/>
                <w:color w:val="2B2B2B"/>
                <w:sz w:val="19"/>
              </w:rPr>
              <w:t>{PERCENTAGE}{/FEE_SCHEDULE}</w:t>
            </w:r>
          </w:p>
        </w:tc>
      </w:tr>
    </w:tbl>
    <w:p>
      <w:r/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943600" cy="914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framing_cle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T H E   N E X T   S T E 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20" w:type="dxa"/>
              <w:start w:w="80" w:type="dxa"/>
              <w:bottom w:w="120" w:type="dxa"/>
              <w:end w:w="8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Playfair Display" w:hAnsi="Playfair Display" w:eastAsia="Playfair Display"/>
                <w:b w:val="0"/>
                <w:i w:val="0"/>
                <w:color w:val="006C9B"/>
                <w:sz w:val="36"/>
              </w:rPr>
              <w:t>1</w:t>
            </w:r>
          </w:p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Review</w:t>
            </w:r>
          </w:p>
        </w:tc>
        <w:tc>
          <w:tcPr>
            <w:tcW w:type="dxa" w:w="245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B9CEDB"/>
            <w:tcMar>
              <w:top w:w="120" w:type="dxa"/>
              <w:start w:w="80" w:type="dxa"/>
              <w:bottom w:w="120" w:type="dxa"/>
              <w:end w:w="8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Playfair Display" w:hAnsi="Playfair Display" w:eastAsia="Playfair Display"/>
                <w:b w:val="0"/>
                <w:i w:val="0"/>
                <w:color w:val="006C9B"/>
                <w:sz w:val="36"/>
              </w:rPr>
              <w:t>2</w:t>
            </w:r>
          </w:p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Approve</w:t>
            </w:r>
          </w:p>
        </w:tc>
        <w:tc>
          <w:tcPr>
            <w:tcW w:type="dxa" w:w="245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7F8"/>
            <w:tcMar>
              <w:top w:w="120" w:type="dxa"/>
              <w:start w:w="80" w:type="dxa"/>
              <w:bottom w:w="120" w:type="dxa"/>
              <w:end w:w="8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Playfair Display" w:hAnsi="Playfair Display" w:eastAsia="Playfair Display"/>
                <w:b w:val="0"/>
                <w:i w:val="0"/>
                <w:color w:val="006C9B"/>
                <w:sz w:val="36"/>
              </w:rPr>
              <w:t>3</w:t>
            </w:r>
          </w:p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Contract</w:t>
            </w:r>
          </w:p>
        </w:tc>
        <w:tc>
          <w:tcPr>
            <w:tcW w:type="dxa" w:w="245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B9CEDB"/>
            <w:tcMar>
              <w:top w:w="120" w:type="dxa"/>
              <w:start w:w="80" w:type="dxa"/>
              <w:bottom w:w="120" w:type="dxa"/>
              <w:end w:w="80" w:type="dxa"/>
            </w:tcMar>
          </w:tcPr>
          <w:p/>
          <w:p>
            <w:pPr>
              <w:spacing w:after="0"/>
              <w:jc w:val="center"/>
            </w:pPr>
            <w:r>
              <w:rPr>
                <w:rFonts w:ascii="Playfair Display" w:hAnsi="Playfair Display" w:eastAsia="Playfair Display"/>
                <w:b w:val="0"/>
                <w:i w:val="0"/>
                <w:color w:val="006C9B"/>
                <w:sz w:val="36"/>
              </w:rPr>
              <w:t>4</w:t>
            </w:r>
          </w:p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Commence</w:t>
            </w:r>
          </w:p>
        </w:tc>
      </w:tr>
    </w:tbl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{NEXT_STEPS}</w:t>
      </w:r>
    </w:p>
    <w:p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35"/>
            <w:shd w:fill="B9CEDB"/>
            <w:tcMar>
              <w:top w:w="120" w:type="dxa"/>
              <w:start w:w="200" w:type="dxa"/>
              <w:bottom w:w="120" w:type="dxa"/>
              <w:end w:w="2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  <w:p>
            <w:pPr>
              <w:spacing w:after="0"/>
              <w:jc w:val="center"/>
            </w:pPr>
            <w:r>
              <w:rPr>
                <w:rFonts w:ascii="Open Sans" w:hAnsi="Open Sans" w:eastAsia="Open Sans"/>
                <w:b/>
                <w:i w:val="0"/>
                <w:color w:val="2B2B2B"/>
                <w:sz w:val="16"/>
              </w:rPr>
              <w:t>CLOSING SUMMARY</w:t>
            </w:r>
          </w:p>
        </w:tc>
      </w:tr>
    </w:tbl>
    <w:p>
      <w:pPr>
        <w:spacing w:after="80" w:before="40"/>
        <w:jc w:val="center"/>
      </w:pPr>
      <w:r>
        <w:rPr>
          <w:rFonts w:ascii="Playfair Display" w:hAnsi="Playfair Display" w:eastAsia="Playfair Display"/>
          <w:b w:val="0"/>
          <w:i w:val="0"/>
          <w:color w:val="2B2B2B"/>
          <w:sz w:val="44"/>
        </w:rPr>
        <w:t>S U M M A R 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9835"/>
            <w:shd w:fill="006C9B"/>
            <w:tcMar>
              <w:top w:w="5" w:type="dxa"/>
              <w:start w:w="0" w:type="dxa"/>
              <w:bottom w:w="5" w:type="dxa"/>
              <w:end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after="160"/>
      </w:pPr>
    </w:p>
    <w:p>
      <w:pPr>
        <w:spacing w:after="120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{APB_SUMMARY_BODY}</w:t>
      </w:r>
    </w:p>
    <w:p>
      <w:r>
        <w:br w:type="page"/>
      </w:r>
    </w:p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603504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b_cover_fu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layfair Display" w:hAnsi="Playfair Display" w:eastAsia="Playfair Display"/>
          <w:b w:val="0"/>
          <w:i w:val="0"/>
          <w:color w:val="006C9B"/>
          <w:sz w:val="52"/>
        </w:rPr>
        <w:t>BLUE LEAF BUILDING</w:t>
      </w:r>
    </w:p>
    <w:p>
      <w:pPr>
        <w:spacing w:after="400"/>
        <w:jc w:val="center"/>
      </w:pPr>
      <w:r>
        <w:rPr>
          <w:rFonts w:ascii="Open Sans" w:hAnsi="Open Sans" w:eastAsia="Open Sans"/>
          <w:b w:val="0"/>
          <w:i w:val="0"/>
          <w:color w:val="2B2B2B"/>
          <w:sz w:val="21"/>
        </w:rPr>
        <w:t>Custom New Homes &amp; Bespoke Renovations</w:t>
      </w:r>
    </w:p>
    <w:p>
      <w:pPr>
        <w:jc w:val="center"/>
      </w:pPr>
      <w:r>
        <w:rPr>
          <w:rFonts w:ascii="Open Sans" w:hAnsi="Open Sans" w:eastAsia="Open Sans"/>
          <w:b w:val="0"/>
          <w:i w:val="0"/>
          <w:color w:val="6B6B6B"/>
          <w:sz w:val="20"/>
        </w:rPr>
        <w:t>www.blueleafbuilding.com.au</w:t>
      </w:r>
    </w:p>
    <w:p>
      <w:pPr>
        <w:jc w:val="center"/>
      </w:pPr>
      <w:r>
        <w:rPr>
          <w:rFonts w:ascii="Open Sans" w:hAnsi="Open Sans" w:eastAsia="Open Sans"/>
          <w:b w:val="0"/>
          <w:i w:val="0"/>
          <w:color w:val="6B6B6B"/>
          <w:sz w:val="20"/>
        </w:rPr>
        <w:t>info@blueleafbuilding.com.au</w:t>
      </w:r>
    </w:p>
    <w:sectPr w:rsidR="00FC693F" w:rsidRPr="0006063C" w:rsidSect="00034616">
      <w:footerReference w:type="default" r:id="rId9"/>
      <w:pgSz w:w="11909" w:h="16834"/>
      <w:pgMar w:top="749" w:right="1037" w:bottom="893" w:left="1037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3264"/>
      <w:gridCol w:w="3264"/>
      <w:gridCol w:w="3264"/>
    </w:tblGrid>
    <w:tr>
      <w:tc>
        <w:tcPr>
          <w:tcW w:type="dxa" w:w="3264"/>
          <w:tcBorders>
            <w:top w:val="nil"/>
            <w:left w:val="nil"/>
            <w:bottom w:val="nil"/>
            <w:right w:val="nil"/>
            <w:insideH w:val="nil"/>
            <w:insideV w:val="nil"/>
          </w:tcBorders>
          <w:tcMar>
            <w:top w:w="0" w:type="dxa"/>
            <w:start w:w="0" w:type="dxa"/>
            <w:bottom w:w="0" w:type="dxa"/>
            <w:end w:w="0" w:type="dxa"/>
          </w:tcMar>
          <w:vAlign w:val="center"/>
        </w:tcPr>
        <w:p>
          <w:pPr>
            <w:jc w:val="left"/>
          </w:pPr>
          <w:r>
            <w:rPr>
              <w:rFonts w:ascii="Playfair Display" w:hAnsi="Playfair Display" w:eastAsia="Playfair Display"/>
              <w:b/>
              <w:i w:val="0"/>
              <w:color w:val="006C9B"/>
              <w:sz w:val="16"/>
            </w:rPr>
            <w:t>Blue Leaf</w:t>
          </w:r>
          <w:r>
            <w:t xml:space="preserve"> </w:t>
          </w:r>
          <w:r>
            <w:rPr>
              <w:rFonts w:ascii="Open Sans" w:hAnsi="Open Sans" w:eastAsia="Open Sans"/>
              <w:b w:val="0"/>
              <w:i w:val="0"/>
              <w:color w:val="006C9B"/>
              <w:sz w:val="14"/>
            </w:rPr>
            <w:t>Building</w:t>
          </w:r>
        </w:p>
      </w:tc>
      <w:tc>
        <w:tcPr>
          <w:tcW w:type="dxa" w:w="3264"/>
          <w:tcBorders>
            <w:top w:val="nil"/>
            <w:left w:val="nil"/>
            <w:bottom w:val="nil"/>
            <w:right w:val="nil"/>
            <w:insideH w:val="nil"/>
            <w:insideV w:val="nil"/>
          </w:tcBorders>
          <w:tcMar>
            <w:top w:w="0" w:type="dxa"/>
            <w:start w:w="0" w:type="dxa"/>
            <w:bottom w:w="0" w:type="dxa"/>
            <w:end w:w="0" w:type="dxa"/>
          </w:tcMar>
          <w:vAlign w:val="center"/>
        </w:tcPr>
        <w:p>
          <w:pPr>
            <w:jc w:val="center"/>
          </w:pPr>
          <w:r>
            <w:rPr>
              <w:rFonts w:ascii="Open Sans" w:hAnsi="Open Sans" w:eastAsia="Open Sans"/>
              <w:b w:val="0"/>
              <w:i w:val="0"/>
              <w:color w:val="6B6B6B"/>
              <w:sz w:val="16"/>
            </w:rPr>
            <w:t>www.blueleafbuilding.com.au</w:t>
          </w:r>
        </w:p>
      </w:tc>
      <w:tc>
        <w:tcPr>
          <w:tcW w:type="dxa" w:w="3264"/>
          <w:tcBorders>
            <w:top w:val="nil"/>
            <w:left w:val="nil"/>
            <w:bottom w:val="nil"/>
            <w:right w:val="nil"/>
            <w:insideH w:val="nil"/>
            <w:insideV w:val="nil"/>
          </w:tcBorders>
          <w:tcMar>
            <w:top w:w="0" w:type="dxa"/>
            <w:start w:w="0" w:type="dxa"/>
            <w:bottom w:w="0" w:type="dxa"/>
            <w:end w:w="0" w:type="dxa"/>
          </w:tcMar>
          <w:vAlign w:val="center"/>
        </w:tcPr>
        <w:p>
          <w:pPr>
            <w:jc w:val="right"/>
          </w:pPr>
          <w:r>
            <w:rPr>
              <w:rFonts w:ascii="Open Sans" w:hAnsi="Open Sans" w:eastAsia="Open Sans"/>
              <w:b w:val="0"/>
              <w:i w:val="0"/>
              <w:color w:val="6B6B6B"/>
              <w:sz w:val="16"/>
            </w:rPr>
            <w:t xml:space="preserve">| </w:t>
          </w:r>
          <w:r>
            <w:fldChar w:fldCharType="begin"/>
            <w:instrText xml:space="preserve">PAGE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 w:eastAsia="Open Sans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LBHeading1">
    <w:name w:val="BLB Heading 1"/>
    <w:rPr>
      <w:rFonts w:ascii="Playfair Display" w:hAnsi="Playfair Display" w:eastAsia="Playfair Display"/>
      <w:b w:val="0"/>
      <w:color w:val="2B2B2B"/>
      <w:sz w:val="44"/>
    </w:rPr>
  </w:style>
  <w:style w:type="paragraph" w:customStyle="1" w:styleId="BLBHeading2">
    <w:name w:val="BLB Heading 2"/>
    <w:rPr>
      <w:rFonts w:ascii="Playfair Display" w:hAnsi="Playfair Display" w:eastAsia="Playfair Display"/>
      <w:b w:val="0"/>
      <w:color w:val="006C9B"/>
      <w:sz w:val="30"/>
    </w:rPr>
  </w:style>
  <w:style w:type="paragraph" w:customStyle="1" w:styleId="BLBBody">
    <w:name w:val="BLB Body"/>
    <w:rPr>
      <w:rFonts w:ascii="Open Sans" w:hAnsi="Open Sans" w:eastAsia="Open Sans"/>
      <w:b w:val="0"/>
      <w:color w:val="2B2B2B"/>
      <w:sz w:val="20"/>
    </w:rPr>
  </w:style>
  <w:style w:type="paragraph" w:customStyle="1" w:styleId="BLBSmall">
    <w:name w:val="BLB Small"/>
    <w:rPr>
      <w:rFonts w:ascii="Open Sans" w:hAnsi="Open Sans" w:eastAsia="Open Sans"/>
      <w:b w:val="0"/>
      <w:color w:val="6B6B6B"/>
      <w:sz w:val="16"/>
    </w:rPr>
  </w:style>
  <w:style w:type="paragraph" w:customStyle="1" w:styleId="BLBPrice">
    <w:name w:val="BLB Price"/>
    <w:rPr>
      <w:rFonts w:ascii="Playfair Display" w:hAnsi="Playfair Display" w:eastAsia="Playfair Display"/>
      <w:b w:val="0"/>
      <w:color w:val="006C9B"/>
      <w:sz w:val="60"/>
    </w:rPr>
  </w:style>
  <w:style w:type="paragraph" w:customStyle="1" w:styleId="BLBCardHeading">
    <w:name w:val="BLB Card Heading"/>
    <w:rPr>
      <w:rFonts w:ascii="Open Sans" w:hAnsi="Open Sans" w:eastAsia="Open Sans"/>
      <w:b/>
      <w:color w:val="006C9B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Relationship Id="rId11" Type="http://schemas.openxmlformats.org/officeDocument/2006/relationships/image" Target="media/image2.jpeg"/><Relationship Id="rId12" Type="http://schemas.openxmlformats.org/officeDocument/2006/relationships/image" Target="media/image3.jpeg"/><Relationship Id="rId13" Type="http://schemas.openxmlformats.org/officeDocument/2006/relationships/image" Target="media/image4.jpeg"/><Relationship Id="rId14" Type="http://schemas.openxmlformats.org/officeDocument/2006/relationships/image" Target="media/image5.jpeg"/><Relationship Id="rId15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Blue Leaf Fee Proposal Template</dc:title>
  <dc:subject>Hub-ready Docxtemplater proposal template</dc:subject>
  <dc:creator>Blue Leaf Building</dc:creator>
  <cp:keywords/>
  <dc:description>Merge tags preserved as single runs where inserted.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