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logo_tim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Open Sans" w:hAnsi="Open Sans" w:eastAsia="Open Sans"/>
          <w:b/>
          <w:i w:val="0"/>
          <w:color w:val="006C9B"/>
          <w:sz w:val="20"/>
        </w:rPr>
        <w:t>FIXED PRICE</w:t>
      </w:r>
    </w:p>
    <w:p>
      <w:pPr>
        <w:spacing w:after="28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56"/>
        </w:rPr>
        <w:t>CONSTRUCTION PROPOSAL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6B6B6B"/>
          <w:sz w:val="22"/>
        </w:rPr>
        <w:t>{NICHE_STATEMENT}</w:t>
      </w:r>
    </w:p>
    <w:p>
      <w:pPr>
        <w:spacing w:before="360" w:after="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Prepared for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006C9B"/>
          <w:sz w:val="36"/>
        </w:rPr>
        <w:t>{CLIENT_SALUTATION}</w:t>
      </w:r>
    </w:p>
    <w:p>
      <w:pPr>
        <w:spacing w:after="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At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2B2B2B"/>
          <w:sz w:val="28"/>
        </w:rPr>
        <w:t>{PROJECT_ADDRESS}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{QUOTE_NUMBER}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{DATE}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Open Sans" w:hAnsi="Open Sans" w:eastAsia="Open Sans"/>
          <w:b/>
          <w:i w:val="0"/>
          <w:color w:val="006C9B"/>
          <w:sz w:val="16"/>
        </w:rPr>
        <w:t>PROPOSAL OVERVIEW</w:t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P R O J E C T   S N A P S H O 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536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220" w:type="dxa"/>
              <w:start w:w="220" w:type="dxa"/>
              <w:bottom w:w="220" w:type="dxa"/>
              <w:end w:w="220" w:type="dxa"/>
            </w:tcMar>
          </w:tcPr>
          <w:p/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CLIENT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{CLIENT_SALUTATION}</w:t>
            </w:r>
          </w:p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PROJECT ADDRESS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{PROJECT_ADDRESS}</w:t>
            </w:r>
          </w:p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QUOTE NUMBER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{QUOTE_NUMBER}</w:t>
            </w:r>
          </w:p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DATE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{DATE}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tcMar>
              <w:top w:w="220" w:type="dxa"/>
              <w:start w:w="220" w:type="dxa"/>
              <w:bottom w:w="220" w:type="dxa"/>
              <w:end w:w="220" w:type="dxa"/>
            </w:tcMar>
          </w:tcPr>
          <w:p/>
          <w:p>
            <w:pPr>
              <w:spacing w:after="20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6"/>
              </w:rPr>
              <w:t>INVESTMENT SUMMARY</w:t>
            </w:r>
          </w:p>
          <w:p>
            <w:pPr>
              <w:spacing w:after="12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6C9B"/>
                <w:sz w:val="44"/>
              </w:rPr>
              <w:t>{TOTAL_INC_GST}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6B6B6B"/>
                <w:sz w:val="18"/>
              </w:rPr>
              <w:t>(inc GST)</w:t>
            </w:r>
          </w:p>
          <w:p>
            <w:pPr>
              <w:spacing w:before="320" w:line="276" w:lineRule="auto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The full scope, assumptions, inclusions, allowances and payment schedule are set out in the following pages.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DOCUMENT GUIDE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P R O P O S A L   C O N T E N T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01   Introduction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02   Fixed Price &amp; Scope of Work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03   Why Build With Blue Leaf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04   Our Guarantees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05   Online Project Management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06   Inclusions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07   Prime Cost &amp; Provisional Sums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08   Optional Upgrades &amp; Cost Saving Alternatives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09   Construction Schedule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10   Testimonials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11   Licences &amp; Associations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12   Responsibilities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13   Exclusions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14   Quote Summary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15   Fee Schedule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16   The Next Step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17   Summary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05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timber_inside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I N T R O D U C T I O 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 xml:space="preserve">Dear </w:t>
      </w:r>
      <w:r/>
      <w:r>
        <w:rPr>
          <w:rFonts w:ascii="Open Sans" w:hAnsi="Open Sans" w:eastAsia="Open Sans"/>
          <w:b w:val="0"/>
          <w:i w:val="0"/>
          <w:color w:val="2B2B2B"/>
          <w:sz w:val="21"/>
        </w:rPr>
        <w:t>{CLIENT_SALUTATION}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{OPENING_PARAGRAPH}</w:t>
      </w:r>
    </w:p>
    <w:p>
      <w:pPr>
        <w:spacing w:line="288" w:lineRule="auto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This proposal and the pricing herein shall remain valid for a period of 30 days following the date shown above.</w:t>
      </w:r>
    </w:p>
    <w:p>
      <w:pPr>
        <w:spacing w:before="36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Yours sincerely,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{SIGNATORIES}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FIXED PRICE &amp; SCOPE OF WORK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F I X E D   P R I C E   &amp;   S C O P 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0"/>
        <w:jc w:val="center"/>
      </w:pPr>
      <w:r>
        <w:rPr>
          <w:rFonts w:ascii="Open Sans" w:hAnsi="Open Sans" w:eastAsia="Open Sans"/>
          <w:b/>
          <w:i w:val="0"/>
          <w:color w:val="006C9B"/>
          <w:sz w:val="18"/>
        </w:rPr>
        <w:t>Your total fixed price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006C9B"/>
          <w:sz w:val="48"/>
        </w:rPr>
        <w:t>{TOTAL_INC_GST}</w:t>
      </w:r>
    </w:p>
    <w:p>
      <w:pPr>
        <w:spacing w:after="360"/>
        <w:jc w:val="center"/>
      </w:pPr>
      <w:r>
        <w:rPr>
          <w:rFonts w:ascii="Open Sans" w:hAnsi="Open Sans" w:eastAsia="Open Sans"/>
          <w:b w:val="0"/>
          <w:i w:val="0"/>
          <w:color w:val="6B6B6B"/>
          <w:sz w:val="18"/>
        </w:rPr>
        <w:t>(inc GST)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{VARIATIONS_CLAUSE}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05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raming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WHY BUILD WITH BLUE LEAF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Craftsmanship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Built around quality workmanship and careful supervision.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Energy &amp; Comfort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Detailing that supports better-performing homes.</w:t>
            </w:r>
          </w:p>
        </w:tc>
      </w:tr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Communication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Clear updates, fewer surprises, better decisions.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Boutique Focus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Limited project load and direct involvement.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{WHY_BUILD_WITH_US}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CONFIDENCE AFTER HANDOVER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O U R   G U A R A N T E E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80"/>
        <w:jc w:val="center"/>
      </w:pPr>
      <w:r>
        <w:rPr>
          <w:rFonts w:ascii="Open Sans" w:hAnsi="Open Sans" w:eastAsia="Open Sans"/>
          <w:b w:val="0"/>
          <w:i w:val="0"/>
          <w:color w:val="2B2B2B"/>
          <w:sz w:val="22"/>
        </w:rPr>
        <w:t>We do not just build homes. We stand behind the work long after handover.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{#GUARANTEES}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200" w:type="dxa"/>
              <w:bottom w:w="160" w:type="dxa"/>
              <w:end w:w="2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4"/>
              </w:rPr>
              <w:t>{GUARANTEE_HEADING}</w:t>
            </w:r>
          </w:p>
        </w:tc>
      </w:tr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200" w:type="dxa"/>
              <w:bottom w:w="160" w:type="dxa"/>
              <w:end w:w="2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{GUARANTEE_TEXT}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{/GUARANTEES}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ONLINE PROJECT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{ONLINE_PM_BODY}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/>
          <w:p>
            <w:pPr>
              <w:spacing w:after="4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Progress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6"/>
              </w:rPr>
              <w:t>Live updates and photos.</w:t>
            </w:r>
          </w:p>
        </w:tc>
        <w:tc>
          <w:tcPr>
            <w:tcW w:type="dxa" w:w="32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/>
          <w:p>
            <w:pPr>
              <w:spacing w:after="4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Selections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6"/>
              </w:rPr>
              <w:t>Decisions captured clearly.</w:t>
            </w:r>
          </w:p>
        </w:tc>
        <w:tc>
          <w:tcPr>
            <w:tcW w:type="dxa" w:w="32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/>
          <w:p>
            <w:pPr>
              <w:spacing w:after="4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Variations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6"/>
              </w:rPr>
              <w:t>No hidden surprises.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THE DETAIL BEHIND THE PROPOSAL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I N C L U S I O N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4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The inclusions below are structured to give you a clear view of what has been allowed for in the proposal.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{#INCLUSION_SECTIONS}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</w:pPr>
          </w:p>
        </w:tc>
      </w:tr>
    </w:tbl>
    <w:p>
      <w:pPr>
        <w:spacing w:after="120"/>
      </w:pPr>
      <w:r>
        <w:rPr>
          <w:rFonts w:ascii="Open Sans" w:hAnsi="Open Sans" w:eastAsia="Open Sans"/>
          <w:b/>
          <w:i w:val="0"/>
          <w:color w:val="006C9B"/>
          <w:sz w:val="32"/>
        </w:rPr>
        <w:t>{SECTION_HEADING}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{#SECTION_ITEMS}</w:t>
      </w:r>
    </w:p>
    <w:p>
      <w:pPr>
        <w:pStyle w:val="ListBullet"/>
      </w:pPr>
      <w:r>
        <w:rPr>
          <w:rFonts w:ascii="Open Sans" w:hAnsi="Open Sans" w:eastAsia="Open Sans"/>
          <w:b w:val="0"/>
          <w:i w:val="0"/>
          <w:color w:val="2B2B2B"/>
          <w:sz w:val="19"/>
        </w:rPr>
        <w:t>{ITEM_TEXT}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{/SECTION_ITEMS}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{/INCLUSION_SECTIONS}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PRIME COST &amp; PROVISIONAL SUMS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The following allowances are included for items not yet fully selected or confirmed. Any adjustment is treated as a variation.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{#PC_SUMS}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2448"/>
      </w:tblGrid>
      <w:tr>
        <w:trPr>
          <w:tblHeader w:val="true"/>
        </w:trPr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{PC_DESCRIPTION}</w:t>
            </w:r>
          </w:p>
        </w:tc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{PC_AMOUNT}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{/PC_SUMS}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OPTIONAL UPGRADES &amp; COST SAVING ALTERNATIVES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O P T I O N A L   I T E M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Below are items not included in the base contract price, but which can be added or reviewed before contract finalisation.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{#OPTIONAL_ITEMS}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160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0"/>
              </w:rPr>
              <w:t>{OPTION_DESCRIPTION}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{OPTION_PRICE}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{/OPTIONAL_ITEMS}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60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raming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C O N S T R U C T I O N   S C H E D U L 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{CONSTRUCTION_SCHEDULE_INTRO}</w:t>
      </w:r>
    </w:p>
    <w:p>
      <w:pPr>
        <w:spacing w:before="200" w:after="0"/>
        <w:jc w:val="center"/>
      </w:pPr>
      <w:r>
        <w:rPr>
          <w:rFonts w:ascii="Open Sans" w:hAnsi="Open Sans" w:eastAsia="Open Sans"/>
          <w:b/>
          <w:i w:val="0"/>
          <w:color w:val="006C9B"/>
          <w:sz w:val="16"/>
        </w:rPr>
        <w:t>Indicative total duration</w:t>
      </w:r>
    </w:p>
    <w:p>
      <w:pPr>
        <w:spacing w:after="120"/>
        <w:jc w:val="center"/>
      </w:pPr>
      <w:r>
        <w:rPr>
          <w:rFonts w:ascii="Open Sans" w:hAnsi="Open Sans" w:eastAsia="Open Sans"/>
          <w:b/>
          <w:i w:val="0"/>
          <w:color w:val="006C9B"/>
          <w:sz w:val="40"/>
        </w:rPr>
        <w:t>{TOTAL_WEEKS}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{#CONSTRUCTION_SCHEDULE}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016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22"/>
              </w:rPr>
              <w:t>{PHASE_LABEL}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20"/>
              </w:rPr>
              <w:t>{PHASE_WEEKS}</w:t>
            </w:r>
          </w:p>
        </w:tc>
      </w:tr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{#TASKS}</w:t>
            </w:r>
          </w:p>
          <w:p>
            <w:pPr>
              <w:pStyle w:val="ListBullet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{TASK_NAME}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{/TASKS}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 w:val="0"/>
                <w:i w:val="0"/>
                <w:color w:val="6B6B6B"/>
                <w:sz w:val="15"/>
              </w:rPr>
              <w:t>Starts week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{START_WEEK}</w:t>
            </w:r>
          </w:p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 w:val="0"/>
                <w:i w:val="0"/>
                <w:color w:val="6B6B6B"/>
                <w:sz w:val="15"/>
              </w:rPr>
              <w:t>Duration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{TASK_WEEKS}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{/CONSTRUCTION_SCHEDULE}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CLIENT EXPERIENCE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W H A T   O U R   C L I E N T S   S A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{#TESTIMONIALS}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280" w:type="dxa"/>
              <w:start w:w="280" w:type="dxa"/>
              <w:bottom w:w="280" w:type="dxa"/>
              <w:end w:w="2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B9CEDB"/>
                <w:sz w:val="68"/>
              </w:rPr>
              <w:t>“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8"/>
              </w:rPr>
              <w:t>{TESTIMONIAL_TEXT}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8"/>
              </w:rPr>
              <w:t>{TESTIMONIAL_AUTHOR}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{/TESTIMONIALS}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05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timber_inside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LICENCES &amp; ASSOCIATIONS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4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Blue Leaf Building is backed by relevant licences, industry relationships and supplier networks that support quality, compliance and delivery.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{#LICENCES}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50" w:type="dxa"/>
              <w:start w:w="180" w:type="dxa"/>
              <w:bottom w:w="150" w:type="dxa"/>
              <w:end w:w="18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0"/>
              </w:rPr>
              <w:t>{LICENCE_TEXT}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{/LICENCES}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CLEAR ROLES FROM THE START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R E S P O N S I B I L I T I E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6C9B"/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8"/>
              </w:rPr>
              <w:t>Our responsibilities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6C9B"/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8"/>
              </w:rPr>
              <w:t>Your responsibilities</w:t>
            </w:r>
          </w:p>
        </w:tc>
      </w:tr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{#RESPONSIBILITIES_OURS}</w:t>
            </w:r>
          </w:p>
          <w:p>
            <w:pPr>
              <w:pStyle w:val="ListBullet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{RESP_TEXT}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{/RESPONSIBILITIES_OURS}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{#RESPONSIBILITIES_YOURS}</w:t>
            </w:r>
          </w:p>
          <w:p>
            <w:pPr>
              <w:pStyle w:val="ListBullet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{RESP_TEXT}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{/RESPONSIBILITIES_YOURS}</w:t>
            </w:r>
          </w:p>
        </w:tc>
      </w:tr>
    </w:tbl>
    <w:p>
      <w:r>
        <w:br w:type="page"/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E X C L U S I O N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4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The following items are excluded from this proposal unless specifically noted elsewhere in the scope.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{#EXCLUSIONS}</w:t>
      </w:r>
    </w:p>
    <w:p>
      <w:pPr>
        <w:pStyle w:val="ListBullet"/>
      </w:pPr>
      <w:r>
        <w:rPr>
          <w:rFonts w:ascii="Open Sans" w:hAnsi="Open Sans" w:eastAsia="Open Sans"/>
          <w:b w:val="0"/>
          <w:i w:val="0"/>
          <w:color w:val="2B2B2B"/>
          <w:sz w:val="19"/>
        </w:rPr>
        <w:t>{EXCLUSION_TEXT}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{/EXCLUSIONS}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Q U O T E   S U M M A R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{#SUMMARY_ROWS}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2592"/>
      </w:tblGrid>
      <w:tr>
        <w:trPr>
          <w:tblHeader w:val="true"/>
        </w:trPr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Cost inc GST</w:t>
            </w:r>
          </w:p>
        </w:tc>
      </w:tr>
      <w:tr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{CATEGORY_NAME}</w:t>
            </w:r>
          </w:p>
        </w:tc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{CATEGORY_COST_GST}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{/SUMMARY_ROWS}</w:t>
      </w:r>
    </w:p>
    <w:p>
      <w:pPr>
        <w:spacing w:before="400" w:after="0"/>
        <w:jc w:val="center"/>
      </w:pPr>
      <w:r>
        <w:rPr>
          <w:rFonts w:ascii="Open Sans" w:hAnsi="Open Sans" w:eastAsia="Open Sans"/>
          <w:b/>
          <w:i w:val="0"/>
          <w:color w:val="006C9B"/>
          <w:sz w:val="16"/>
        </w:rPr>
        <w:t>Total investment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006C9B"/>
          <w:sz w:val="44"/>
        </w:rPr>
        <w:t>{TOTAL_COST_GST}</w:t>
      </w:r>
    </w:p>
    <w:p>
      <w:pPr>
        <w:jc w:val="center"/>
      </w:pPr>
      <w:r>
        <w:rPr>
          <w:rFonts w:ascii="Open Sans" w:hAnsi="Open Sans" w:eastAsia="Open Sans"/>
          <w:b w:val="0"/>
          <w:i w:val="0"/>
          <w:color w:val="6B6B6B"/>
          <w:sz w:val="18"/>
        </w:rPr>
        <w:t>(inc GST)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SCHEDULE OF PROGRESS PAYMENTS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F E E   S C H E D U L 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{#FEE_SCHEDULE}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040"/>
        <w:gridCol w:w="1584"/>
      </w:tblGrid>
      <w:tr>
        <w:trPr>
          <w:tblHeader w:val="true"/>
        </w:trPr>
        <w:tc>
          <w:tcPr>
            <w:tcW w:type="dxa" w:w="3278"/>
            <w:shd w:fill="006C9B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Claim</w:t>
            </w:r>
          </w:p>
        </w:tc>
        <w:tc>
          <w:tcPr>
            <w:tcW w:type="dxa" w:w="3278"/>
            <w:shd w:fill="006C9B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3278"/>
            <w:shd w:fill="006C9B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3278"/>
            <w:shd w:fill="F4F7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{STAGE_CLAIM}</w:t>
            </w:r>
          </w:p>
        </w:tc>
        <w:tc>
          <w:tcPr>
            <w:tcW w:type="dxa" w:w="3278"/>
            <w:shd w:fill="F4F7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{MILESTONE}</w:t>
            </w:r>
          </w:p>
        </w:tc>
        <w:tc>
          <w:tcPr>
            <w:tcW w:type="dxa" w:w="3278"/>
            <w:shd w:fill="F4F7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{PERCENTAGE}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{/FEE_SCHEDULE}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raming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T H E   N E X T   S T E 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Review</w:t>
            </w:r>
          </w:p>
        </w:tc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Approve</w:t>
            </w:r>
          </w:p>
        </w:tc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Contract</w:t>
            </w:r>
          </w:p>
        </w:tc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Commence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{NEXT_STEPS}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CLOSING SUMMARY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S U M M A R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{APB_SUMMARY_BODY}</w:t>
      </w:r>
    </w:p>
    <w:p>
      <w:r>
        <w:br w:type="page"/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b_cover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layfair Display" w:hAnsi="Playfair Display" w:eastAsia="Playfair Display"/>
          <w:b w:val="0"/>
          <w:i w:val="0"/>
          <w:color w:val="006C9B"/>
          <w:sz w:val="52"/>
        </w:rPr>
        <w:t>BLUE LEAF BUILDING</w:t>
      </w:r>
    </w:p>
    <w:p>
      <w:pPr>
        <w:spacing w:after="400"/>
        <w:jc w:val="center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Custom New Homes &amp; Bespoke Renovations</w:t>
      </w:r>
    </w:p>
    <w:p>
      <w:pPr>
        <w:jc w:val="center"/>
      </w:pPr>
      <w:r>
        <w:rPr>
          <w:rFonts w:ascii="Open Sans" w:hAnsi="Open Sans" w:eastAsia="Open Sans"/>
          <w:b w:val="0"/>
          <w:i w:val="0"/>
          <w:color w:val="6B6B6B"/>
          <w:sz w:val="20"/>
        </w:rPr>
        <w:t>www.blueleafbuilding.com.au</w:t>
      </w:r>
    </w:p>
    <w:p>
      <w:pPr>
        <w:jc w:val="center"/>
      </w:pPr>
      <w:r>
        <w:rPr>
          <w:rFonts w:ascii="Open Sans" w:hAnsi="Open Sans" w:eastAsia="Open Sans"/>
          <w:b w:val="0"/>
          <w:i w:val="0"/>
          <w:color w:val="6B6B6B"/>
          <w:sz w:val="20"/>
        </w:rPr>
        <w:t>info@blueleafbuilding.com.au</w:t>
      </w:r>
    </w:p>
    <w:sectPr w:rsidR="00FC693F" w:rsidRPr="0006063C" w:rsidSect="00034616">
      <w:footerReference w:type="default" r:id="rId9"/>
      <w:pgSz w:w="11909" w:h="16834"/>
      <w:pgMar w:top="749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rPr>
              <w:rFonts w:ascii="Playfair Display" w:hAnsi="Playfair Display" w:eastAsia="Playfair Display"/>
              <w:b/>
              <w:i w:val="0"/>
              <w:color w:val="006C9B"/>
              <w:sz w:val="16"/>
            </w:rPr>
            <w:t>Blue Leaf</w:t>
          </w:r>
          <w:r>
            <w:t xml:space="preserve"> </w:t>
          </w:r>
          <w:r>
            <w:rPr>
              <w:rFonts w:ascii="Open Sans" w:hAnsi="Open Sans" w:eastAsia="Open Sans"/>
              <w:b w:val="0"/>
              <w:i w:val="0"/>
              <w:color w:val="6B6B6B"/>
              <w:sz w:val="14"/>
            </w:rPr>
            <w:t>Building</w:t>
          </w:r>
        </w:p>
      </w:tc>
      <w:tc>
        <w:tcPr>
          <w:tcW w:type="dxa" w:w="326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center"/>
          </w:pPr>
          <w:r>
            <w:rPr>
              <w:rFonts w:ascii="Open Sans" w:hAnsi="Open Sans" w:eastAsia="Open Sans"/>
              <w:b w:val="0"/>
              <w:i w:val="0"/>
              <w:color w:val="6B6B6B"/>
              <w:sz w:val="16"/>
            </w:rPr>
            <w:t>www.blueleafbuilding.com.au</w:t>
          </w:r>
        </w:p>
      </w:tc>
      <w:tc>
        <w:tcPr>
          <w:tcW w:type="dxa" w:w="326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Open Sans" w:hAnsi="Open Sans" w:eastAsia="Open Sans"/>
              <w:b w:val="0"/>
              <w:i w:val="0"/>
              <w:color w:val="6B6B6B"/>
              <w:sz w:val="16"/>
            </w:rPr>
            <w:t xml:space="preserve">|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eastAsia="Open Sans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BHeading1">
    <w:name w:val="BLB Heading 1"/>
    <w:rPr>
      <w:rFonts w:ascii="Playfair Display" w:hAnsi="Playfair Display" w:eastAsia="Playfair Display"/>
      <w:b w:val="0"/>
      <w:color w:val="2B2B2B"/>
      <w:sz w:val="44"/>
    </w:rPr>
  </w:style>
  <w:style w:type="paragraph" w:customStyle="1" w:styleId="BLBHeading2">
    <w:name w:val="BLB Heading 2"/>
    <w:rPr>
      <w:rFonts w:ascii="Playfair Display" w:hAnsi="Playfair Display" w:eastAsia="Playfair Display"/>
      <w:b w:val="0"/>
      <w:color w:val="006C9B"/>
      <w:sz w:val="30"/>
    </w:rPr>
  </w:style>
  <w:style w:type="paragraph" w:customStyle="1" w:styleId="BLBBody">
    <w:name w:val="BLB Body"/>
    <w:rPr>
      <w:rFonts w:ascii="Open Sans" w:hAnsi="Open Sans" w:eastAsia="Open Sans"/>
      <w:b w:val="0"/>
      <w:color w:val="2B2B2B"/>
      <w:sz w:val="20"/>
    </w:rPr>
  </w:style>
  <w:style w:type="paragraph" w:customStyle="1" w:styleId="BLBSmall">
    <w:name w:val="BLB Small"/>
    <w:rPr>
      <w:rFonts w:ascii="Open Sans" w:hAnsi="Open Sans" w:eastAsia="Open Sans"/>
      <w:b w:val="0"/>
      <w:color w:val="6B6B6B"/>
      <w:sz w:val="16"/>
    </w:rPr>
  </w:style>
  <w:style w:type="paragraph" w:customStyle="1" w:styleId="BLBPrice">
    <w:name w:val="BLB Price"/>
    <w:rPr>
      <w:rFonts w:ascii="Playfair Display" w:hAnsi="Playfair Display" w:eastAsia="Playfair Display"/>
      <w:b w:val="0"/>
      <w:color w:val="006C9B"/>
      <w:sz w:val="60"/>
    </w:rPr>
  </w:style>
  <w:style w:type="paragraph" w:customStyle="1" w:styleId="BLBCardHeading">
    <w:name w:val="BLB Card Heading"/>
    <w:rPr>
      <w:rFonts w:ascii="Open Sans" w:hAnsi="Open Sans" w:eastAsia="Open Sans"/>
      <w:b/>
      <w:color w:val="006C9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Leaf Fee Proposal Template</dc:title>
  <dc:subject>Hub-ready Docxtemplater proposal template</dc:subject>
  <dc:creator>Blue Leaf Building</dc:creator>
  <cp:keywords/>
  <dc:description>Merge tags preserved as single runs where inserted.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