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drawing>
          <wp:inline distT="0" distB="0" distL="0" distR="0">
            <wp:extent cx="1428750" cy="1562100"/>
            <wp:effectExtent t="0" r="0" b="0" l="0"/>
            <wp:docPr id="1" name="logo" descr="Щит со шлемом" title="Логотип Кибермо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E0E10"/>
          <w:spacing w:val="60"/>
          <w:sz w:val="30"/>
          <w:szCs w:val="30"/>
        </w:rPr>
        <w:t xml:space="preserve">КИБЕРМОЛ</w:t>
      </w:r>
    </w:p>
    <w:p>
      <w:pPr>
        <w:spacing w:after="260"/>
        <w:jc w:val="center"/>
      </w:pPr>
      <w:r>
        <w:rPr>
          <w:rFonts w:ascii="Arial" w:cs="Arial" w:eastAsia="Arial" w:hAnsi="Arial"/>
          <w:color w:val="55585F"/>
          <w:sz w:val="20"/>
          <w:szCs w:val="20"/>
        </w:rPr>
        <w:t xml:space="preserve">Здоровая молодёжь — сильная Россия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11D2A"/>
          <w:sz w:val="52"/>
          <w:szCs w:val="52"/>
        </w:rPr>
        <w:t xml:space="preserve">КОНЦЕПЦИЯ РАЗВИТИЯ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E0E10"/>
          <w:spacing w:val="40"/>
          <w:sz w:val="32"/>
          <w:szCs w:val="32"/>
        </w:rPr>
        <w:t xml:space="preserve">2026 — 2028</w:t>
      </w:r>
    </w:p>
    <w:p>
      <w:pPr>
        <w:spacing w:after="40"/>
        <w:jc w:val="center"/>
      </w:pPr>
      <w:r>
        <w:rPr>
          <w:rFonts w:ascii="Arial" w:cs="Arial" w:eastAsia="Arial" w:hAnsi="Arial"/>
          <w:color w:val="0E0E10"/>
          <w:sz w:val="24"/>
          <w:szCs w:val="24"/>
        </w:rPr>
        <w:t xml:space="preserve">Автономная некоммерческая организация «Кибермол»</w:t>
      </w:r>
    </w:p>
    <w:p>
      <w:pPr>
        <w:spacing w:after="300"/>
        <w:jc w:val="center"/>
      </w:pPr>
      <w:r>
        <w:rPr>
          <w:rFonts w:ascii="Arial" w:cs="Arial" w:eastAsia="Arial" w:hAnsi="Arial"/>
          <w:color w:val="55585F"/>
          <w:sz w:val="22"/>
          <w:szCs w:val="22"/>
        </w:rPr>
        <w:t xml:space="preserve">г. Москва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85F"/>
          <w:sz w:val="22"/>
          <w:szCs w:val="22"/>
        </w:rPr>
        <w:t xml:space="preserve">Обоснование продолжения общественно полезной деятельности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85F"/>
          <w:sz w:val="22"/>
          <w:szCs w:val="22"/>
        </w:rPr>
        <w:t xml:space="preserve">и продления льготной аренды трёх помещений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1. Резюме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«Кибермол» — автономная некоммерческая организация (АНО) из Москвы, основанная в 2022 году. Миссия движения — растить здоровую, сильную и патриотичную молодёжь через спорт, патриотическое воспитание, медиа и музыкальное творчество. Девиз: «Здоровая молодёжь — сильная Россия».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За первые годы работы организация подготовила 34 спортсмена-разрядника, получила более 19 наград и грамот, выстроила постоянную работу с молодёжью района и сформировала узнаваемый бренд с собственной системой контента и медиа.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Настоящая концепция описывает развитие «Кибермол» на трёхлетний горизонт (2026–2028) и служит обоснованием для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продления льготной аренды трёх городских помещений</w:t>
      </w:r>
      <w:r>
        <w:rPr>
          <w:rFonts w:ascii="Arial" w:cs="Arial" w:eastAsia="Arial" w:hAnsi="Arial"/>
          <w:sz w:val="22"/>
          <w:szCs w:val="22"/>
        </w:rPr>
        <w:t xml:space="preserve">, которые организация использует строго по целевому назначению в интересах молодёжи города.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B3141F"/>
          <w:sz w:val="22"/>
          <w:szCs w:val="22"/>
        </w:rPr>
        <w:t xml:space="preserve">Запрос к городу: </w:t>
      </w:r>
      <w:r>
        <w:rPr>
          <w:rFonts w:ascii="Arial" w:cs="Arial" w:eastAsia="Arial" w:hAnsi="Arial"/>
          <w:sz w:val="22"/>
          <w:szCs w:val="22"/>
        </w:rPr>
        <w:t xml:space="preserve">сохранить за «Кибермол» право льготной аренды трёх помещений на новый срок (3 года), чтобы организация могла продолжить и масштабировать общественно полезную деятельность. Помещения используются как студия звукозаписи, медиа-центр (штаб) и учебный класс — без передачи третьим лицам и строго в уставных целях.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2. О движении «Кибермол»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«Кибермол» работает на стыке четырёх направлений, которые усиливают друг друга: спорт и физическая подготовка, патриотическое воспитание, медиа и цифровые навыки, музыка и звук. Такой комплекс позволяет вовлекать самую разную молодёжь — и тех, кто приходит за спортом, и тех, кому ближе творчество и медиа.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Ключевые факты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Организационно-правовая форма: </w:t>
      </w:r>
      <w:r>
        <w:rPr>
          <w:rFonts w:ascii="Arial" w:cs="Arial" w:eastAsia="Arial" w:hAnsi="Arial"/>
          <w:sz w:val="22"/>
          <w:szCs w:val="22"/>
        </w:rPr>
        <w:t xml:space="preserve">автономная некоммерческая организация (АНО), Москва.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Год основания: </w:t>
      </w:r>
      <w:r>
        <w:rPr>
          <w:rFonts w:ascii="Arial" w:cs="Arial" w:eastAsia="Arial" w:hAnsi="Arial"/>
          <w:sz w:val="22"/>
          <w:szCs w:val="22"/>
        </w:rPr>
        <w:t xml:space="preserve">2022.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Подготовлено разрядников: </w:t>
      </w:r>
      <w:r>
        <w:rPr>
          <w:rFonts w:ascii="Arial" w:cs="Arial" w:eastAsia="Arial" w:hAnsi="Arial"/>
          <w:sz w:val="22"/>
          <w:szCs w:val="22"/>
        </w:rPr>
        <w:t xml:space="preserve">34 спортсмена.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Награды и грамоты: </w:t>
      </w:r>
      <w:r>
        <w:rPr>
          <w:rFonts w:ascii="Arial" w:cs="Arial" w:eastAsia="Arial" w:hAnsi="Arial"/>
          <w:sz w:val="22"/>
          <w:szCs w:val="22"/>
        </w:rPr>
        <w:t xml:space="preserve">более 19.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Направления: </w:t>
      </w:r>
      <w:r>
        <w:rPr>
          <w:rFonts w:ascii="Arial" w:cs="Arial" w:eastAsia="Arial" w:hAnsi="Arial"/>
          <w:sz w:val="22"/>
          <w:szCs w:val="22"/>
        </w:rPr>
        <w:t xml:space="preserve">спорт, патриотическое воспитание, медиа, музыкальное искусство (студия звукозаписи).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Присутствие: </w:t>
      </w:r>
      <w:r>
        <w:rPr>
          <w:rFonts w:ascii="Arial" w:cs="Arial" w:eastAsia="Arial" w:hAnsi="Arial"/>
          <w:sz w:val="22"/>
          <w:szCs w:val="22"/>
        </w:rPr>
        <w:t xml:space="preserve">действующий сайт cybermol.ru, сообщества в соцсетях, регулярная медийная активность.</w:t>
      </w:r>
    </w:p>
    <w:p>
      <w:pPr>
        <w:spacing w:after="120" w:before="60" w:line="264"/>
      </w:pPr>
      <w:r>
        <w:rPr>
          <w:rFonts w:ascii="Arial" w:cs="Arial" w:eastAsia="Arial" w:hAnsi="Arial"/>
          <w:i/>
          <w:iCs/>
          <w:color w:val="55585F"/>
          <w:sz w:val="20"/>
          <w:szCs w:val="20"/>
        </w:rPr>
        <w:t xml:space="preserve">Точные числа (актуальный охват, число занятий, площади и реквизиты договоров аренды) перед подачей следует обновить фактическими данными — в тексте они помечены как [значение].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3. Актуальность и социальная значимость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Государство ставит здоровье, занятость и патриотическое воспитание молодёжи в число приоритетов. На уровне района и города сохраняется запрос на бесплатные и доступные форматы, которые удерживают подростков и молодых людей в созидательной среде, дают им навыки, дисциплину и чувство принадлежности.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«Кибермол» отвечает на этот запрос комплексно: спорт даёт здоровье и характер, патриотические программы — ценности и связь с историей страны, медиа и студия звукозаписи — творческую самореализацию и современные цифровые навыки. Для города это означает занятую полезным делом молодёжь, профилактику негативных явлений и подготовку социально активных, здоровых граждан.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Помещения — критическое условие этой работы. </w:t>
      </w:r>
      <w:r>
        <w:rPr>
          <w:rFonts w:ascii="Arial" w:cs="Arial" w:eastAsia="Arial" w:hAnsi="Arial"/>
          <w:sz w:val="22"/>
          <w:szCs w:val="22"/>
        </w:rPr>
        <w:t xml:space="preserve">Без постоянной площадки невозможно вести регулярные занятия, хранить оборудование, проводить запись, обучение и мероприятия. Льготная аренда от города напрямую конвертируется в общественную пользу для жителей.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4. Миссия, видение и ценности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Миссия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Растить здоровую, сильную и патриотичную молодёжь через спорт, творчество и медиа — и давать каждому участнику возможность стать лучшей версией себя.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Видение 2028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К 2028 году «Кибермол» — устойчивый молодёжный центр Москвы с тремя действующими площадками, узнаваемым брендом и отлаженными программами, через которые ежегодно проходят сотни молодых людей; модель, готовая к тиражированию в других районах.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Ценности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Сила и дисциплина · братство и взаимопомощь · честность · уважение к стране и её истории · созидание вместо разрушения.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5. Три помещения: целевое использование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Все три помещения используются строго по целевому назначению, в соответствии с уставными целями организации, без передачи прав третьим лицам и без извлечения нецелевой выгоды. Ниже — назначение каждой площадки и характер её использования.</w:t>
      </w:r>
    </w:p>
    <w:tbl>
      <w:tblPr>
        <w:tblW w:type="dxa" w:w="9071"/>
        <w:tblBorders>
          <w:top w:val="single" w:color="D7D7D4" w:sz="4"/>
          <w:left w:val="single" w:color="D7D7D4" w:sz="4"/>
          <w:bottom w:val="single" w:color="D7D7D4" w:sz="4"/>
          <w:right w:val="single" w:color="D7D7D4" w:sz="4"/>
          <w:insideH w:val="single" w:color="D7D7D4" w:sz="4"/>
          <w:insideV w:val="single" w:color="D7D7D4" w:sz="4"/>
        </w:tblBorders>
      </w:tblPr>
      <w:tblGrid>
        <w:gridCol w:w="2150"/>
        <w:gridCol w:w="4621"/>
        <w:gridCol w:w="2300"/>
      </w:tblGrid>
      <w:tr>
        <w:trPr>
          <w:tblHeader/>
        </w:trPr>
        <w:tc>
          <w:tcPr>
            <w:tcW w:type="dxa" w:w="215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Помещение</w:t>
            </w:r>
          </w:p>
        </w:tc>
        <w:tc>
          <w:tcPr>
            <w:tcW w:type="dxa" w:w="462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использование</w:t>
            </w:r>
          </w:p>
        </w:tc>
        <w:tc>
          <w:tcPr>
            <w:tcW w:type="dxa" w:w="2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пользуется</w:t>
            </w:r>
          </w:p>
        </w:tc>
      </w:tr>
      <w:tr>
        <w:tc>
          <w:tcPr>
            <w:tcW w:type="dxa" w:w="215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Студия звукозаписи</w:t>
            </w:r>
          </w:p>
        </w:tc>
        <w:tc>
          <w:tcPr>
            <w:tcW w:type="dxa" w:w="462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Запись музыки и звука, создание патриотического и спортивного медиаконтента, бесплатные творческие смены для участников, работа со студийным оборудованием.</w:t>
            </w:r>
          </w:p>
        </w:tc>
        <w:tc>
          <w:tcPr>
            <w:tcW w:type="dxa" w:w="2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Молодёжь-участники, начинающие музыканты, медиакоманда</w:t>
            </w:r>
          </w:p>
        </w:tc>
      </w:tr>
      <w:tr>
        <w:tc>
          <w:tcPr>
            <w:tcW w:type="dxa" w:w="215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Медиа-центр / штаб</w:t>
            </w:r>
          </w:p>
        </w:tc>
        <w:tc>
          <w:tcPr>
            <w:tcW w:type="dxa" w:w="462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Производство контента движения (съёмка, монтаж, дизайн), обучение медианавыкам, координация программ, встречи команды и волонтёров, администрирование.</w:t>
            </w:r>
          </w:p>
        </w:tc>
        <w:tc>
          <w:tcPr>
            <w:tcW w:type="dxa" w:w="2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Медиакоманда, волонтёры, наставники, актив</w:t>
            </w:r>
          </w:p>
        </w:tc>
      </w:tr>
      <w:tr>
        <w:tc>
          <w:tcPr>
            <w:tcW w:type="dxa" w:w="215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Учебный класс / лекторий</w:t>
            </w:r>
          </w:p>
        </w:tc>
        <w:tc>
          <w:tcPr>
            <w:tcW w:type="dxa" w:w="462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Образовательные и патриотические занятия, лекции, теоретическая подготовка, мастер-классы, разбор тренировок, встречи с приглашёнными гостями.</w:t>
            </w:r>
          </w:p>
        </w:tc>
        <w:tc>
          <w:tcPr>
            <w:tcW w:type="dxa" w:w="2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Школьники и студенты, участники секций</w:t>
            </w:r>
          </w:p>
        </w:tc>
      </w:tr>
    </w:tbl>
    <w:p>
      <w:pPr>
        <w:spacing w:after="120" w:before="60" w:line="264"/>
      </w:pPr>
      <w:r>
        <w:rPr>
          <w:rFonts w:ascii="Arial" w:cs="Arial" w:eastAsia="Arial" w:hAnsi="Arial"/>
          <w:i/>
          <w:iCs/>
          <w:color w:val="55585F"/>
          <w:sz w:val="20"/>
          <w:szCs w:val="20"/>
        </w:rPr>
        <w:t xml:space="preserve">Уточнить и вписать: точные адреса, площади (кв. м), номера и сроки действующих договоров аренды, текущую ставку.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6. Направления деятельности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Спорт и физическая подготовка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Секции и тренировки, подготовка разрядников, развитие дисциплины, физической формы и характера. Спорт — точка входа в движение и основа его идентичности.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Патриотическое воспитание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Программы, лекции и мероприятия, формирующие уважение к стране, её истории и героям; связь спорта и силы характера с любовью к Родине — без формализма, на близком молодёжи языке.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Медиа и цифровые навыки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Собственное медиапроизводство и обучение: съёмка, монтаж, дизайн, ведение соцсетей. У движения уже выстроена премиальная система контента и фирменный стиль; медиа-направление даёт молодёжи востребованные цифровые навыки.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Музыка и звук (студия звукозаписи)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Студия даёт молодёжи возможность творческой самореализации: запись треков, работа со звуком, создание музыки, в том числе патриотической и спортивной тематики. Девиз направления — «Чистый звук — сильная музыка».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7. Стратегия развития на 2026–2028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Трёхлетний план построен по принципу «закрепление → рост → устойчивость»: сначала укрепить базу и регулярность, затем нарастить охват и программы, в финале — выйти на устойчивую модель, готовую к тиражированию.</w:t>
      </w:r>
    </w:p>
    <w:tbl>
      <w:tblPr>
        <w:tblW w:type="dxa" w:w="9071"/>
        <w:tblBorders>
          <w:top w:val="single" w:color="D7D7D4" w:sz="4"/>
          <w:left w:val="single" w:color="D7D7D4" w:sz="4"/>
          <w:bottom w:val="single" w:color="D7D7D4" w:sz="4"/>
          <w:right w:val="single" w:color="D7D7D4" w:sz="4"/>
          <w:insideH w:val="single" w:color="D7D7D4" w:sz="4"/>
          <w:insideV w:val="single" w:color="D7D7D4" w:sz="4"/>
        </w:tblBorders>
      </w:tblPr>
      <w:tblGrid>
        <w:gridCol w:w="1300"/>
        <w:gridCol w:w="2500"/>
        <w:gridCol w:w="5271"/>
      </w:tblGrid>
      <w:tr>
        <w:trPr>
          <w:tblHeader/>
        </w:trPr>
        <w:tc>
          <w:tcPr>
            <w:tcW w:type="dxa" w:w="1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25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  <w:tc>
          <w:tcPr>
            <w:tcW w:type="dxa" w:w="5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результаты</w:t>
            </w:r>
          </w:p>
        </w:tc>
      </w:tr>
      <w:tr>
        <w:tc>
          <w:tcPr>
            <w:tcW w:type="dxa" w:w="1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2026</w:t>
            </w:r>
          </w:p>
        </w:tc>
        <w:tc>
          <w:tcPr>
            <w:tcW w:type="dxa" w:w="25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Закрепление базы</w:t>
            </w:r>
          </w:p>
        </w:tc>
        <w:tc>
          <w:tcPr>
            <w:tcW w:type="dxa" w:w="5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Стабильное расписание на всех трёх площадках; запуск регулярных студийных смен и медиа-обучения; отлаженная отчётность; рост числа постоянных участников.</w:t>
            </w:r>
          </w:p>
        </w:tc>
      </w:tr>
      <w:tr>
        <w:tc>
          <w:tcPr>
            <w:tcW w:type="dxa" w:w="1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2027</w:t>
            </w:r>
          </w:p>
        </w:tc>
        <w:tc>
          <w:tcPr>
            <w:tcW w:type="dxa" w:w="25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Рост и охват</w:t>
            </w:r>
          </w:p>
        </w:tc>
        <w:tc>
          <w:tcPr>
            <w:tcW w:type="dxa" w:w="5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Расширение программ и числа секций; первые выпуски молодёжных медиа- и музыкальных продуктов; партнёрства со школами и колледжами; участие в городских мероприятиях и конкурсах.</w:t>
            </w:r>
          </w:p>
        </w:tc>
      </w:tr>
      <w:tr>
        <w:tc>
          <w:tcPr>
            <w:tcW w:type="dxa" w:w="13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2028</w:t>
            </w:r>
          </w:p>
        </w:tc>
        <w:tc>
          <w:tcPr>
            <w:tcW w:type="dxa" w:w="25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Устойчивость</w:t>
            </w:r>
          </w:p>
        </w:tc>
        <w:tc>
          <w:tcPr>
            <w:tcW w:type="dxa" w:w="5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Выход на устойчивую модель с диверсифицированным финансированием; готовый к тиражированию формат; закрепление статуса узнаваемого молодёжного центра района.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8. Целевые группы и охват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Основная аудитория — молодёжь Москвы 14–25 лет: школьники, студенты и молодые взрослые, в том числе из семей, для которых платные секции и студии недоступны. Отдельное внимание — подросткам, которым важна созидательная среда и наставничество.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Прямые участники: воспитанники секций, студийных смен и медиапрограмм.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Косвенные благополучатели: семьи участников, школы-партнёры, жители района — зрители мероприятий и медиаконтента.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Волонтёры и наставники, получающие опыт и практику.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9. Социальный эффект и ключевые показатели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Эффективность измеряется конкретными показателями. Ниже — целевые значения по годам (план; подлежат уточнению по фактической базе организации).</w:t>
      </w:r>
    </w:p>
    <w:tbl>
      <w:tblPr>
        <w:tblW w:type="dxa" w:w="9071"/>
        <w:tblBorders>
          <w:top w:val="single" w:color="D7D7D4" w:sz="4"/>
          <w:left w:val="single" w:color="D7D7D4" w:sz="4"/>
          <w:bottom w:val="single" w:color="D7D7D4" w:sz="4"/>
          <w:right w:val="single" w:color="D7D7D4" w:sz="4"/>
          <w:insideH w:val="single" w:color="D7D7D4" w:sz="4"/>
          <w:insideV w:val="single" w:color="D7D7D4" w:sz="4"/>
        </w:tblBorders>
      </w:tblPr>
      <w:tblGrid>
        <w:gridCol w:w="3371"/>
        <w:gridCol w:w="1900"/>
        <w:gridCol w:w="1900"/>
        <w:gridCol w:w="1900"/>
      </w:tblGrid>
      <w:tr>
        <w:trPr>
          <w:tblHeader/>
        </w:trP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Постоянные участники программ, чел.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300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600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Проведено мероприятий за год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70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Студийных смен / часов записи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400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Подготовлено разрядников (накопительно)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75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Выпущено медиа- и музыкальных продуктов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80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Охват в соцсетях, чел./мес.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20 000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50 000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100 000</w:t>
            </w:r>
          </w:p>
        </w:tc>
      </w:tr>
      <w:tr>
        <w:tc>
          <w:tcPr>
            <w:tcW w:type="dxa" w:w="33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Привлечено волонтёров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50</w:t>
            </w:r>
          </w:p>
        </w:tc>
      </w:tr>
    </w:tbl>
    <w:p>
      <w:pPr>
        <w:spacing w:after="120" w:before="60" w:line="264"/>
      </w:pPr>
      <w:r>
        <w:rPr>
          <w:rFonts w:ascii="Arial" w:cs="Arial" w:eastAsia="Arial" w:hAnsi="Arial"/>
          <w:i/>
          <w:iCs/>
          <w:color w:val="55585F"/>
          <w:sz w:val="20"/>
          <w:szCs w:val="20"/>
        </w:rPr>
        <w:t xml:space="preserve">Цифры — проектные ориентиры. Перед подачей заменить на цели, согласованные с фактическими результатами 2024–2025 гг.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E0E10"/>
          <w:sz w:val="24"/>
          <w:szCs w:val="24"/>
        </w:rPr>
        <w:t xml:space="preserve">Качественные результаты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Здоровье и физическая подготовка молодёжи; занятость подростков полезным делом и профилактика негативных явлений; формирование патриотических ценностей; развитие востребованных цифровых и творческих навыков; укрепление чувства общности и наставничества.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10. Соответствие критериям имущественной поддержки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Город предоставляет НКО помещения на льготных условиях при целевом использовании и общественной пользе; у добросовестного арендатора есть преимущественное право на продление договора без торгов. Ниже — как «Кибермол» соответствует ключевым критериям.</w:t>
      </w:r>
    </w:p>
    <w:tbl>
      <w:tblPr>
        <w:tblW w:type="dxa" w:w="9071"/>
        <w:tblBorders>
          <w:top w:val="single" w:color="D7D7D4" w:sz="4"/>
          <w:left w:val="single" w:color="D7D7D4" w:sz="4"/>
          <w:bottom w:val="single" w:color="D7D7D4" w:sz="4"/>
          <w:right w:val="single" w:color="D7D7D4" w:sz="4"/>
          <w:insideH w:val="single" w:color="D7D7D4" w:sz="4"/>
          <w:insideV w:val="single" w:color="D7D7D4" w:sz="4"/>
        </w:tblBorders>
      </w:tblPr>
      <w:tblGrid>
        <w:gridCol w:w="3071"/>
        <w:gridCol w:w="6000"/>
      </w:tblGrid>
      <w:tr>
        <w:trPr>
          <w:tblHeader/>
        </w:trP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продления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соответствует «Кибермол»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Целевое использование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Все три помещения используются строго по назначению и уставным целям, без передачи третьим лицам.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Регулярность и интенсивность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Постоянное расписание занятий, студийных смен и мероприятий на всех площадках в течение года.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Достигнутые результаты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34 разрядника, 19+ наград, действующие программы и измеримые KPI с положительной динамикой.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Социальная значимость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Бесплатные и доступные форматы для молодёжи района, вклад в здоровье, занятость и патриотическое воспитание.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Отчётность и прозрачность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Готовность предоставлять отчёты о деятельности и целевом использовании; публичная активность в медиа.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Добросовестность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Соблюдение условий договора, отсутствие нарушений и задолженности, бережное содержание помещений.</w:t>
            </w:r>
          </w:p>
        </w:tc>
      </w:tr>
      <w:tr>
        <w:tc>
          <w:tcPr>
            <w:tcW w:type="dxa" w:w="30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Планы развития</w:t>
            </w:r>
          </w:p>
        </w:tc>
        <w:tc>
          <w:tcPr>
            <w:tcW w:type="dxa" w:w="60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Чёткая трёхлетняя стратегия с ростом охвата и программ — продолжение оправдывает сохранение площадок.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11. Команда и партнёры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Директор — Фомин А. А. </w:t>
      </w:r>
      <w:r>
        <w:rPr>
          <w:rFonts w:ascii="Arial" w:cs="Arial" w:eastAsia="Arial" w:hAnsi="Arial"/>
          <w:sz w:val="22"/>
          <w:szCs w:val="22"/>
        </w:rPr>
        <w:t xml:space="preserve">Руководство движением, спортивное и патриотическое направления.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Партнёр — Бруев С. С. </w:t>
      </w:r>
      <w:r>
        <w:rPr>
          <w:rFonts w:ascii="Arial" w:cs="Arial" w:eastAsia="Arial" w:hAnsi="Arial"/>
          <w:sz w:val="22"/>
          <w:szCs w:val="22"/>
        </w:rPr>
        <w:t xml:space="preserve">Развитие студии звукозаписи и музыкально-медийного направления («Sam Bruev», «Чистый звук — сильная музыка»).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Команду усиливают наставники, волонтёры и партнёрские организации района. Партнёрская сеть развивается; среди партнёров — местные организации и предприниматели, поддерживающие молодёжные инициативы.</w:t>
      </w:r>
    </w:p>
    <w:p>
      <w:pPr>
        <w:spacing w:after="120" w:before="60" w:line="264"/>
      </w:pPr>
      <w:r>
        <w:rPr>
          <w:rFonts w:ascii="Arial" w:cs="Arial" w:eastAsia="Arial" w:hAnsi="Arial"/>
          <w:i/>
          <w:iCs/>
          <w:color w:val="55585F"/>
          <w:sz w:val="20"/>
          <w:szCs w:val="20"/>
        </w:rPr>
        <w:t xml:space="preserve">Дополнить: полный состав команды, ключевые наставники, список партнёров и форматы сотрудничества.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12. Финансовая устойчивость и софинансирование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Модель финансирования диверсифицирована и не перекладывает основную нагрузку на город. Источники: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Гранты и субсидии (Фонд президентских грантов, Росмолодёжь, городские конкурсы для НКО).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Пожертвования и поддержка партнёров и бизнеса района.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Частичная самоокупаемость студийного и медианаправления при сохранении бесплатных форматов для участников.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Вклад самой организации: оборудование, ремонт и бережное содержание помещений, труд команды и волонтёров.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Льготная аренда — это рычаг, а не дотация: </w:t>
      </w:r>
      <w:r>
        <w:rPr>
          <w:rFonts w:ascii="Arial" w:cs="Arial" w:eastAsia="Arial" w:hAnsi="Arial"/>
          <w:sz w:val="22"/>
          <w:szCs w:val="22"/>
        </w:rPr>
        <w:t xml:space="preserve">каждый рубль льготы организация многократно конвертирует в общественную пользу и привлекает дополнительные внебюджетные средства.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13. Прозрачность, отчётность и контроль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«Кибермол» готов к полной прозрачности перед городом: регулярные отчёты о деятельности и целевом использовании помещений, фотоотчёты и публичные материалы в медиа, открытые показатели охвата и результатов, готовность к проверкам и мониторингу со стороны уполномоченных органов.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14. Риски и управление ими</w:t>
      </w:r>
    </w:p>
    <w:tbl>
      <w:tblPr>
        <w:tblW w:type="dxa" w:w="9071"/>
        <w:tblBorders>
          <w:top w:val="single" w:color="D7D7D4" w:sz="4"/>
          <w:left w:val="single" w:color="D7D7D4" w:sz="4"/>
          <w:bottom w:val="single" w:color="D7D7D4" w:sz="4"/>
          <w:right w:val="single" w:color="D7D7D4" w:sz="4"/>
          <w:insideH w:val="single" w:color="D7D7D4" w:sz="4"/>
          <w:insideV w:val="single" w:color="D7D7D4" w:sz="4"/>
        </w:tblBorders>
      </w:tblPr>
      <w:tblGrid>
        <w:gridCol w:w="4271"/>
        <w:gridCol w:w="4800"/>
      </w:tblGrid>
      <w:tr>
        <w:trPr>
          <w:tblHeader/>
        </w:trPr>
        <w:tc>
          <w:tcPr>
            <w:tcW w:type="dxa" w:w="4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48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0E0E1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Меры управления</w:t>
            </w:r>
          </w:p>
        </w:tc>
      </w:tr>
      <w:tr>
        <w:tc>
          <w:tcPr>
            <w:tcW w:type="dxa" w:w="4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Непродление аренды</w:t>
            </w:r>
          </w:p>
        </w:tc>
        <w:tc>
          <w:tcPr>
            <w:tcW w:type="dxa" w:w="48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Заблаговременная заявка, полный пакет отчётности, демонстрация целевого использования и результатов.</w:t>
            </w:r>
          </w:p>
        </w:tc>
      </w:tr>
      <w:tr>
        <w:tc>
          <w:tcPr>
            <w:tcW w:type="dxa" w:w="4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Сокращение финансирования</w:t>
            </w:r>
          </w:p>
        </w:tc>
        <w:tc>
          <w:tcPr>
            <w:tcW w:type="dxa" w:w="48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Диверсификация источников, гранты, партнёрства, частичная самоокупаемость студии.</w:t>
            </w:r>
          </w:p>
        </w:tc>
      </w:tr>
      <w:tr>
        <w:tc>
          <w:tcPr>
            <w:tcW w:type="dxa" w:w="4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Отток участников</w:t>
            </w:r>
          </w:p>
        </w:tc>
        <w:tc>
          <w:tcPr>
            <w:tcW w:type="dxa" w:w="48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Сильный контент и бренд, система наставничества, бесплатные доступные форматы.</w:t>
            </w:r>
          </w:p>
        </w:tc>
      </w:tr>
      <w:tr>
        <w:tc>
          <w:tcPr>
            <w:tcW w:type="dxa" w:w="4271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Кадровый риск</w:t>
            </w:r>
          </w:p>
        </w:tc>
        <w:tc>
          <w:tcPr>
            <w:tcW w:type="dxa" w:w="4800"/>
            <w:tcBorders>
              <w:top w:val="single" w:color="D7D7D4" w:sz="4"/>
              <w:left w:val="single" w:color="D7D7D4" w:sz="4"/>
              <w:bottom w:val="single" w:color="D7D7D4" w:sz="4"/>
              <w:right w:val="single" w:color="D7D7D4" w:sz="4"/>
            </w:tcBorders>
            <w:shd w:fill="F5F5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0E10"/>
                <w:sz w:val="20"/>
                <w:szCs w:val="20"/>
              </w:rPr>
              <w:t xml:space="preserve">Привлечение и обучение волонтёров, развитие команды и наставников.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15. Запрос и заключение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«Кибермол» просит сохранить право льготной аренды трёх помещений на новый трёхлетний срок. </w:t>
      </w:r>
      <w:r>
        <w:rPr>
          <w:rFonts w:ascii="Arial" w:cs="Arial" w:eastAsia="Arial" w:hAnsi="Arial"/>
          <w:sz w:val="22"/>
          <w:szCs w:val="22"/>
        </w:rPr>
        <w:t xml:space="preserve">Помещения используются строго по целевому назначению в интересах молодёжи Москвы; организация добросовестно исполняет обязательства, показывает измеримые результаты и готова к полной отчётности.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E0E10"/>
          <w:sz w:val="22"/>
          <w:szCs w:val="22"/>
        </w:rPr>
        <w:t xml:space="preserve">Продление аренды — это прямая инвестиция города в здоровье, занятость и патриотическое воспитание молодёжи. За три года «Кибермол» обязуется нарастить охват и результаты, сохранить бесплатные форматы и укрепить статус узнаваемого молодёжного центра района.</w:t>
      </w:r>
    </w:p>
    <w:p>
      <w:pPr>
        <w:spacing w:after="120" w:before="160" w:line="276"/>
        <w:jc w:val="center"/>
      </w:pPr>
      <w:r>
        <w:rPr>
          <w:rFonts w:ascii="Arial" w:cs="Arial" w:eastAsia="Arial" w:hAnsi="Arial"/>
          <w:b/>
          <w:bCs/>
          <w:i/>
          <w:iCs/>
          <w:color w:val="E11D2A"/>
          <w:sz w:val="24"/>
          <w:szCs w:val="24"/>
        </w:rPr>
        <w:t xml:space="preserve">Здоровая молодёжь — сильная Россия.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E11D2A"/>
          <w:sz w:val="28"/>
          <w:szCs w:val="28"/>
        </w:rPr>
        <w:t xml:space="preserve">16. Контакты</w:t>
      </w:r>
    </w:p>
    <w:p>
      <w:pPr>
        <w:spacing w:after="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АНО «Кибермол», г. Москва</w:t>
      </w:r>
    </w:p>
    <w:p>
      <w:pPr>
        <w:spacing w:after="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E-mail: </w:t>
      </w:r>
      <w:r>
        <w:rPr>
          <w:rFonts w:ascii="Arial" w:cs="Arial" w:eastAsia="Arial" w:hAnsi="Arial"/>
          <w:sz w:val="22"/>
          <w:szCs w:val="22"/>
        </w:rPr>
        <w:t xml:space="preserve">frmcybermol@yandex.ru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Тел.: </w:t>
      </w:r>
      <w:r>
        <w:rPr>
          <w:rFonts w:ascii="Arial" w:cs="Arial" w:eastAsia="Arial" w:hAnsi="Arial"/>
          <w:sz w:val="22"/>
          <w:szCs w:val="22"/>
        </w:rPr>
        <w:t xml:space="preserve">+7 (926) 412-90-10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Сайт: </w:t>
      </w:r>
      <w:r>
        <w:rPr>
          <w:rFonts w:ascii="Arial" w:cs="Arial" w:eastAsia="Arial" w:hAnsi="Arial"/>
          <w:sz w:val="22"/>
          <w:szCs w:val="22"/>
        </w:rPr>
        <w:t xml:space="preserve">cybermol.ru</w:t>
      </w:r>
    </w:p>
    <w:p>
      <w:pPr>
        <w:pBdr>
          <w:top w:val="single" w:color="D7D7D4" w:sz="4" w:space="6"/>
        </w:pBdr>
        <w:spacing w:before="200"/>
      </w:pPr>
      <w:r>
        <w:rPr>
          <w:rFonts w:ascii="Arial" w:cs="Arial" w:eastAsia="Arial" w:hAnsi="Arial"/>
          <w:i/>
          <w:iCs/>
          <w:color w:val="55585F"/>
          <w:sz w:val="18"/>
          <w:szCs w:val="18"/>
        </w:rPr>
        <w:t xml:space="preserve">Документ носит концептуальный характер. Точные правовые основания, условия и ставки льготной аренды, а также формы отчётности необходимо сверить с актуальными нормативными актами и уполномоченными органами (ДГИ / профильный комитет г. Москвы). Организация не оказывает юридических услуг данным документом.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9DA3"/>
        <w:sz w:val="16"/>
        <w:szCs w:val="16"/>
      </w:rPr>
      <w:t xml:space="preserve">Здоровая молодёжь — сильная Россия    |    </w:t>
    </w:r>
    <w:r>
      <w:rPr>
        <w:rFonts w:ascii="Arial" w:cs="Arial" w:eastAsia="Arial" w:hAnsi="Arial"/>
        <w:color w:val="9A9D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9A9DA3"/>
        <w:sz w:val="16"/>
        <w:szCs w:val="16"/>
      </w:rPr>
      <w:t xml:space="preserve">КИБЕРМОЛ · Концепция развития 2026–2028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E11D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E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E11D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E0E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acbfb922809261ce6e86482fd02ad109817f4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развития 2026–2028</dc:title>
  <dc:creator>КИБЕРМОЛ</dc:creator>
  <cp:lastModifiedBy>Un-named</cp:lastModifiedBy>
  <cp:revision>1</cp:revision>
  <dcterms:created xsi:type="dcterms:W3CDTF">2026-06-30T08:01:30.811Z</dcterms:created>
  <dcterms:modified xsi:type="dcterms:W3CDTF">2026-06-30T08:01:30.811Z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