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“Because I Care” - Final Project</w:t>
      </w:r>
    </w:p>
    <w:p w:rsidR="00000000" w:rsidDel="00000000" w:rsidP="00000000" w:rsidRDefault="00000000" w:rsidRPr="00000000" w14:paraId="00000002">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Rhetorical Analysis</w:t>
      </w:r>
      <w:r w:rsidDel="00000000" w:rsidR="00000000" w:rsidRPr="00000000">
        <w:rPr>
          <w:rtl w:val="0"/>
        </w:rPr>
      </w:r>
    </w:p>
    <w:p w:rsidR="00000000" w:rsidDel="00000000" w:rsidP="00000000" w:rsidRDefault="00000000" w:rsidRPr="00000000" w14:paraId="0000000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My Faith Votes (MFV) is a non-partisan campaign geared towards Christian colleges and universities, aiming to cut through anger-filled political discourse and encourage student voting. This includes helping students register to vote, obtain absentee ballots, candidate information, and more. As of 2018, 117 Christian colleges have utilized the “Because I Care” campaign materials, which reached a student population of around 325,000. Additionally, it is estimated that 25 million Christians who are already registered to vote, still fail to vote during presidential election times. Thus, created goals to set aside political party affiliation and vote biblically to bring faith into communities (MFV, 2018). This campaign represents a rhetorical response to uplift civic engagement among faith-based groups. </w:t>
      </w:r>
    </w:p>
    <w:p w:rsidR="00000000" w:rsidDel="00000000" w:rsidP="00000000" w:rsidRDefault="00000000" w:rsidRPr="00000000" w14:paraId="0000000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Hauser and Bitzer define a rhetorical situation as being composed of three elements: Exigence, audience, and constraints. To begin, the exigence aspect, or urgency, aims to increase faithful voter engagement as elections draw nearer. Secondly, the audience piece quite clearly refers to individuals who value religious principles, promoting moral action. The constraints of this campaign include potential skepticism toward combining religion and civic duty. “Because I Care” evokes a sense of moral obligation to the cause, linking faith with voting. When it comes to voting behavior amongst Christian-based communities, church attendance and attitudes toward the Bible may be important motivating factors. Thus, the frequency of being exposed to religiously relatable messages could correlate to voting activity (Lockerbie, 2013). Furthermore, specific messages, such as phrasing displayed throughout the campaign, transmitted within these educational environments can have a positive impact on voter encouragement.</w:t>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Ethos, pathos, and logos, which Hauser references as critical tools of persuasion, can also be found within this campaign. Ethos, or appeal to the people, similar to what was mentioned above, can be seen through this campaign's alignment with religious values, framing voting as a moral act. Credibility can be found through the faith-centered approach to writing and imagery, appealing to personal trust in these values. Pathos, the emotional aspect, can be seen in the word “care”, evoking compassion and a responsibility to vote for one’s values. Logos, or reason, is more subtle here, arguing that voting is a logical extension of faith and caring for others. Overall, if you care, you will vote for your religious values. </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visual rhetoric of the posters specifically play a significant role in their impact. Foss’s Theory of Rhetoric explains how design elements, such as color, typography, and general imagery play into how messages are perceived. While primarily visual, words are still important, and posters must be engaging and attractive to their audience. Ineffective visual communications can be cluttered, text-heavy, and have little to no flow or cohesive layout (Pedwell et al, 2016). The My Faith Votes posters demonstrate clean and uncluttered designs, using calming color combinations, similar layout, and faithful wording to reflect the message. These design elements all work nicely together to create persuasive artifacts. </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Lastly, Hauser’s concept of vernacular rhetoric is especially relevant to My Faith Votes “Because I Care” campaign, as it tries to engage its audience by conveying relatability to their daily lives and identities. Vernacular rhetoric uses symbols, language, and themes that are immediately recognizable and meaningful within a given community (Hauser, 2002). These posters achieve this through relying on faith-based language and imagery, using references to concepts in religious teachings, such as for the phrase “I Pray. I Think. I Vote”. By framing voting as an extension of an individual’s faith, the posters are promoting civic responsibility into the moral framework of its audience. “Because I Care” also directly relates to this, as it shows a personal representation of faith and duty, making the message more relatable and sincere. The use of vernacular rhetoric attempts to bridge the gap between personal beliefs and public action, making voting feel necessary to preserve one’s values. </w:t>
      </w:r>
    </w:p>
    <w:p w:rsidR="00000000" w:rsidDel="00000000" w:rsidP="00000000" w:rsidRDefault="00000000" w:rsidRPr="00000000" w14:paraId="00000008">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Civic Literacy Strategy</w:t>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promote civic literacy effectively, a message must resonate with the target audience’s values, while also addressing rhetorical elements, such as exigence, audience, and constraints. The My Faith Votes “Because I Care” campaign demonstrates effectiveness by aligning faith-based values with a call to action, making it already a good model for strategizing. In order to develop a similarly impactful message, this strategy will include a variety of rhetorical communication efforts. </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Firstly, the message should define exigence and audience, focusing on addressing the low civic engagement within religious communities during election times. Following Hauser (2002), and the concept of rhetorical situation, exigence encapsulates the need to enhance voter turnout and civic awareness. The audience is composed of those who identify strongly with shared moral or cultural values, in this case, religious communities. Thus, engage these religious communities by framing civic participation as an expression of care and extension of faith. Secondly, vernacular rhetoric is central to these types of strategies. By using familiar narratives, the message should be able to connect to the audience’s personal experiences. “Because I Care” directly links faith and voting here. Furthermore, emotional appeals, or pathos, can help boost themes, like compassion, and motivate civic engagement. Next, visual elements should use inspiring and trusting colors that convey trust, and value-aligned design elements. While this campaign focuses on college students, expanding into other religious demographic areas may also increase civic engagement. Lastly, creating visuals around specific partisan issues in a non-partisan way, such as merely bringing attention to abortion debates, can increase voting behavior. For example, when parties compete on issues relevant to religious voters, voting behavior increases. However, when parties step away from religious issues and organizations, this behavior then decreases (Raymond, 2018).</w:t>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final message could then be “Because I Care, I Vote”, supported by visual elements of individuals engaging in civic duties accompanied by calming designs. While simple, it is a powerful slogan continuing to tie voting to personal responsibility. To further reinforce this message, the design will feature people engaging in civic activities, such as casting ballots. Finally, at the bottom the message will include a call to action, “Pray. Engage. Vote”. This provides an actionable statement encouraging the audience to take steps toward civic literacy. The posters could then link to resources, such as through a scannable QR code. Overall, this message is designed to resonate emotionally with the audience's moral framework, providing a next clear step toward civic participation.</w:t>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Hauser, G. A. (2002). </w:t>
      </w:r>
      <w:r w:rsidDel="00000000" w:rsidR="00000000" w:rsidRPr="00000000">
        <w:rPr>
          <w:rFonts w:ascii="Times New Roman" w:cs="Times New Roman" w:eastAsia="Times New Roman" w:hAnsi="Times New Roman"/>
          <w:i w:val="1"/>
          <w:iCs w:val="1"/>
          <w:sz w:val="24"/>
          <w:szCs w:val="24"/>
          <w:rtl w:val="0"/>
        </w:rPr>
        <w:t xml:space="preserve">Introduction to Rhetorical Theory</w:t>
      </w:r>
      <w:r w:rsidDel="00000000" w:rsidR="00000000" w:rsidRPr="00000000">
        <w:rPr>
          <w:rFonts w:ascii="Times New Roman" w:cs="Times New Roman" w:eastAsia="Times New Roman" w:hAnsi="Times New Roman"/>
          <w:sz w:val="24"/>
          <w:szCs w:val="24"/>
          <w:rtl w:val="0"/>
        </w:rPr>
        <w:t xml:space="preserve">. Waveland Press.</w:t>
      </w:r>
    </w:p>
    <w:p w:rsidR="00000000" w:rsidDel="00000000" w:rsidP="00000000" w:rsidRDefault="00000000" w:rsidRPr="00000000" w14:paraId="0000001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Lockerbie, B. (2013). Race and Religion: Voting Behavior and Political Attitudes. </w:t>
      </w:r>
      <w:r w:rsidDel="00000000" w:rsidR="00000000" w:rsidRPr="00000000">
        <w:rPr>
          <w:rFonts w:ascii="Times New Roman" w:cs="Times New Roman" w:eastAsia="Times New Roman" w:hAnsi="Times New Roman"/>
          <w:i w:val="1"/>
          <w:iCs w:val="1"/>
          <w:sz w:val="24"/>
          <w:szCs w:val="24"/>
          <w:rtl w:val="0"/>
        </w:rPr>
        <w:t xml:space="preserve">Social Science Quarterly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94</w:t>
      </w:r>
      <w:r w:rsidDel="00000000" w:rsidR="00000000" w:rsidRPr="00000000">
        <w:rPr>
          <w:rFonts w:ascii="Times New Roman" w:cs="Times New Roman" w:eastAsia="Times New Roman" w:hAnsi="Times New Roman"/>
          <w:sz w:val="24"/>
          <w:szCs w:val="24"/>
          <w:rtl w:val="0"/>
        </w:rPr>
        <w:t xml:space="preserve">(4), 1145–1158. Wiley Online Library. https://doi.org/10.1111/ssqu.12062</w:t>
      </w:r>
    </w:p>
    <w:p w:rsidR="00000000" w:rsidDel="00000000" w:rsidP="00000000" w:rsidRDefault="00000000" w:rsidRPr="00000000" w14:paraId="0000001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Pedwell, R. K., Hardy, J. A., &amp; Rowland, S. L. (2016). Effective visual design and communication practices for research posters: Exemplars based on the theory and practice of multimedia learning and rhetoric. </w:t>
      </w:r>
      <w:r w:rsidDel="00000000" w:rsidR="00000000" w:rsidRPr="00000000">
        <w:rPr>
          <w:rFonts w:ascii="Times New Roman" w:cs="Times New Roman" w:eastAsia="Times New Roman" w:hAnsi="Times New Roman"/>
          <w:i w:val="1"/>
          <w:iCs w:val="1"/>
          <w:sz w:val="24"/>
          <w:szCs w:val="24"/>
          <w:rtl w:val="0"/>
        </w:rPr>
        <w:t xml:space="preserve">Biochemistry and Molecular Biology Education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45</w:t>
      </w:r>
      <w:r w:rsidDel="00000000" w:rsidR="00000000" w:rsidRPr="00000000">
        <w:rPr>
          <w:rFonts w:ascii="Times New Roman" w:cs="Times New Roman" w:eastAsia="Times New Roman" w:hAnsi="Times New Roman"/>
          <w:sz w:val="24"/>
          <w:szCs w:val="24"/>
          <w:rtl w:val="0"/>
        </w:rPr>
        <w:t xml:space="preserve">(3), 249–261. https://doi.org/10.1002/bmb.21034</w:t>
      </w:r>
    </w:p>
    <w:p w:rsidR="00000000" w:rsidDel="00000000" w:rsidP="00000000" w:rsidRDefault="00000000" w:rsidRPr="00000000" w14:paraId="0000001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Raymond, C. D. (2018). Electoral Choice and Religion: An Overview. </w:t>
      </w:r>
      <w:r w:rsidDel="00000000" w:rsidR="00000000" w:rsidRPr="00000000">
        <w:rPr>
          <w:rFonts w:ascii="Times New Roman" w:cs="Times New Roman" w:eastAsia="Times New Roman" w:hAnsi="Times New Roman"/>
          <w:i w:val="1"/>
          <w:iCs w:val="1"/>
          <w:sz w:val="24"/>
          <w:szCs w:val="24"/>
          <w:rtl w:val="0"/>
        </w:rPr>
        <w:t xml:space="preserve">Oxford Research Encyclopedia of Politics</w:t>
      </w:r>
      <w:r w:rsidDel="00000000" w:rsidR="00000000" w:rsidRPr="00000000">
        <w:rPr>
          <w:rFonts w:ascii="Times New Roman" w:cs="Times New Roman" w:eastAsia="Times New Roman" w:hAnsi="Times New Roman"/>
          <w:sz w:val="24"/>
          <w:szCs w:val="24"/>
          <w:rtl w:val="0"/>
        </w:rPr>
        <w:t xml:space="preserve">. Oxford Research Encyclopedias. https://doi.org/10.1093/acrefore/9780190228637.013.672</w:t>
      </w:r>
    </w:p>
    <w:p w:rsidR="00000000" w:rsidDel="00000000" w:rsidP="00000000" w:rsidRDefault="00000000" w:rsidRPr="00000000" w14:paraId="0000001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KAIROS Company for My Faith Votes. (2018, October 31). </w:t>
      </w:r>
      <w:r w:rsidDel="00000000" w:rsidR="00000000" w:rsidRPr="00000000">
        <w:rPr>
          <w:rFonts w:ascii="Times New Roman" w:cs="Times New Roman" w:eastAsia="Times New Roman" w:hAnsi="Times New Roman"/>
          <w:i w:val="1"/>
          <w:iCs w:val="1"/>
          <w:sz w:val="24"/>
          <w:szCs w:val="24"/>
          <w:rtl w:val="0"/>
        </w:rPr>
        <w:t xml:space="preserve">My Faith Votes’ “Because I Care” Campaign Equips 325,000 Students on 117 Christian Colleges to Vote in Midterms</w:t>
      </w:r>
      <w:r w:rsidDel="00000000" w:rsidR="00000000" w:rsidRPr="00000000">
        <w:rPr>
          <w:rFonts w:ascii="Times New Roman" w:cs="Times New Roman" w:eastAsia="Times New Roman" w:hAnsi="Times New Roman"/>
          <w:sz w:val="24"/>
          <w:szCs w:val="24"/>
          <w:rtl w:val="0"/>
        </w:rPr>
        <w:t xml:space="preserve">. My Faith Votes. https://www.myfaithvotes.org/statements/my-faith-votes-because-i-care-campaign-equips-325-000-students-on-117-christian-colleges-to-vote-in-midterms</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49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49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