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Calibri" w:hAnsi="Calibri"/>
          <w:b/>
          <w:color w:val="0972D3"/>
          <w:sz w:val="22"/>
        </w:rPr>
        <w:t>ACADEMIC PROJECT REPORT &amp; SYSTEM DOCUMENTATION</w:t>
      </w:r>
    </w:p>
    <w:p>
      <w:pPr>
        <w:spacing w:after="160"/>
        <w:jc w:val="center"/>
      </w:pPr>
      <w:r>
        <w:rPr>
          <w:rFonts w:ascii="Calibri" w:hAnsi="Calibri"/>
          <w:b/>
          <w:color w:val="0F1E36"/>
          <w:sz w:val="56"/>
        </w:rPr>
        <w:t>Intelligent EV Charging &amp;</w:t>
        <w:br/>
        <w:t>Resource Management System</w:t>
      </w:r>
    </w:p>
    <w:p>
      <w:pPr>
        <w:spacing w:after="720"/>
        <w:jc w:val="center"/>
      </w:pPr>
      <w:r>
        <w:rPr>
          <w:rFonts w:ascii="Calibri" w:hAnsi="Calibri"/>
          <w:color w:val="545B64"/>
          <w:sz w:val="26"/>
        </w:rPr>
        <w:t>A Multi-Agent Classical Decision Support Platform for Urban Fleet Routing,</w:t>
        <w:br/>
        <w:t>Grid Load Optimization, and Dynamic Slot Scheduling</w:t>
      </w:r>
    </w:p>
    <w:p>
      <w:pPr>
        <w:spacing w:after="800"/>
        <w:jc w:val="center"/>
      </w:pPr>
      <w:r>
        <w:rPr>
          <w:b/>
          <w:color w:val="EC7211"/>
        </w:rPr>
        <w:t>━━━━━━━━━━━━━━━━━━━━━━━━━━━━━━━━━━━━━━━━</w:t>
      </w:r>
    </w:p>
    <w:tbl>
      <w:tblPr>
        <w:tblW w:type="auto" w:w="0"/>
        <w:jc w:val="center"/>
        <w:tblLook w:firstColumn="1" w:firstRow="1" w:lastColumn="0" w:lastRow="0" w:noHBand="0" w:noVBand="1" w:val="04A0"/>
      </w:tblPr>
      <w:tblGrid>
        <w:gridCol w:w="4680"/>
        <w:gridCol w:w="4680"/>
      </w:tblGrid>
      <w:tr>
        <w:tc>
          <w:tcPr>
            <w:tcW w:type="dxa" w:w="4680"/>
            <w:shd w:val="clear" w:color="auto" w:fill="F8F9FA"/>
            <w:tcMar>
              <w:top w:w="140" w:type="dxa"/>
              <w:bottom w:w="140" w:type="dxa"/>
              <w:left w:w="200" w:type="dxa"/>
              <w:right w:w="200" w:type="dxa"/>
            </w:tcMar>
          </w:tcPr>
          <w:p>
            <w:r>
              <w:rPr>
                <w:b/>
                <w:color w:val="545B64"/>
                <w:sz w:val="20"/>
              </w:rPr>
              <w:t>SUBMITTED BY:</w:t>
            </w:r>
          </w:p>
        </w:tc>
        <w:tc>
          <w:tcPr>
            <w:tcW w:type="dxa" w:w="4680"/>
            <w:shd w:val="clear" w:color="auto" w:fill="F8F9FA"/>
            <w:tcMar>
              <w:top w:w="140" w:type="dxa"/>
              <w:bottom w:w="140" w:type="dxa"/>
              <w:left w:w="200" w:type="dxa"/>
              <w:right w:w="200" w:type="dxa"/>
            </w:tcMar>
          </w:tcPr>
          <w:p>
            <w:r>
              <w:rPr>
                <w:b/>
                <w:color w:val="545B64"/>
                <w:sz w:val="20"/>
              </w:rPr>
              <w:t>PROJECT METADATA:</w:t>
            </w:r>
          </w:p>
        </w:tc>
      </w:tr>
      <w:tr>
        <w:tc>
          <w:tcPr>
            <w:tcW w:type="dxa" w:w="4680"/>
            <w:shd w:val="clear" w:color="auto" w:fill="F8F9FA"/>
            <w:tcMar>
              <w:top w:w="140" w:type="dxa"/>
              <w:bottom w:w="140" w:type="dxa"/>
              <w:left w:w="200" w:type="dxa"/>
              <w:right w:w="200" w:type="dxa"/>
            </w:tcMar>
          </w:tcPr>
          <w:p>
            <w:r>
              <w:rPr>
                <w:b/>
                <w:color w:val="0F1E36"/>
                <w:sz w:val="24"/>
              </w:rPr>
              <w:t>Sam Devaraja J</w:t>
              <w:br/>
              <w:t>Roll No: 240701463</w:t>
            </w:r>
          </w:p>
        </w:tc>
        <w:tc>
          <w:tcPr>
            <w:tcW w:type="dxa" w:w="4680"/>
            <w:shd w:val="clear" w:color="auto" w:fill="F8F9FA"/>
            <w:tcMar>
              <w:top w:w="140" w:type="dxa"/>
              <w:bottom w:w="140" w:type="dxa"/>
              <w:left w:w="200" w:type="dxa"/>
              <w:right w:w="200" w:type="dxa"/>
            </w:tcMar>
          </w:tcPr>
          <w:p>
            <w:r>
              <w:rPr>
                <w:color w:val="16191F"/>
                <w:sz w:val="22"/>
              </w:rPr>
              <w:t>Domain: Classical Artificial Intelligence</w:t>
              <w:br/>
              <w:t>Framework: Multi-Agent Systems &amp; CSP</w:t>
            </w:r>
          </w:p>
        </w:tc>
      </w:tr>
      <w:tr>
        <w:tc>
          <w:tcPr>
            <w:tcW w:type="dxa" w:w="4680"/>
            <w:shd w:val="clear" w:color="auto" w:fill="F8F9FA"/>
            <w:tcMar>
              <w:top w:w="140" w:type="dxa"/>
              <w:bottom w:w="140" w:type="dxa"/>
              <w:left w:w="200" w:type="dxa"/>
              <w:right w:w="200" w:type="dxa"/>
            </w:tcMar>
          </w:tcPr>
          <w:p>
            <w:r>
              <w:rPr>
                <w:b/>
                <w:color w:val="0F1E36"/>
                <w:sz w:val="24"/>
              </w:rPr>
              <w:t>Karthik Subramanian S</w:t>
              <w:br/>
              <w:t>Roll No: 240701233</w:t>
            </w:r>
          </w:p>
        </w:tc>
        <w:tc>
          <w:tcPr>
            <w:tcW w:type="dxa" w:w="4680"/>
            <w:shd w:val="clear" w:color="auto" w:fill="F8F9FA"/>
            <w:tcMar>
              <w:top w:w="140" w:type="dxa"/>
              <w:bottom w:w="140" w:type="dxa"/>
              <w:left w:w="200" w:type="dxa"/>
              <w:right w:w="200" w:type="dxa"/>
            </w:tcMar>
          </w:tcPr>
          <w:p>
            <w:r>
              <w:rPr>
                <w:color w:val="16191F"/>
                <w:sz w:val="22"/>
              </w:rPr>
              <w:t>Architecture: FastAPI + React 18</w:t>
              <w:br/>
              <w:t>Verification: 124 Passing Unit &amp; System Tests</w:t>
            </w:r>
          </w:p>
        </w:tc>
      </w:tr>
    </w:tbl>
    <w:p>
      <w:pPr>
        <w:spacing w:before="1200"/>
        <w:jc w:val="center"/>
      </w:pPr>
      <w:r>
        <w:rPr>
          <w:rFonts w:ascii="Calibri" w:hAnsi="Calibri"/>
          <w:b/>
          <w:color w:val="545B64"/>
          <w:sz w:val="20"/>
        </w:rPr>
        <w:t>DEPARTMENT OF ARTIFICIAL INTELLIGENCE &amp; COMPUTER SCIENCE</w:t>
        <w:br/>
        <w:t>ACADEMIC YEAR 2026</w:t>
      </w:r>
    </w:p>
    <w:p>
      <w:r>
        <w:br w:type="page"/>
      </w:r>
    </w:p>
    <w:p>
      <w:pPr>
        <w:keepNext/>
        <w:spacing w:before="400" w:after="160"/>
      </w:pPr>
      <w:r>
        <w:rPr>
          <w:rFonts w:ascii="Calibri" w:hAnsi="Calibri"/>
          <w:b/>
          <w:color w:val="0F1E36"/>
          <w:sz w:val="36"/>
        </w:rPr>
        <w:t>Table of Contents</w:t>
      </w:r>
    </w:p>
    <w:tbl>
      <w:tblPr>
        <w:tblW w:type="auto" w:w="0"/>
        <w:jc w:val="center"/>
        <w:tblLook w:firstColumn="1" w:firstRow="1" w:lastColumn="0" w:lastRow="0" w:noHBand="0" w:noVBand="1" w:val="04A0"/>
      </w:tblPr>
      <w:tblGrid>
        <w:gridCol w:w="4680"/>
        <w:gridCol w:w="4680"/>
      </w:tblGrid>
      <w:tr>
        <w:tc>
          <w:tcPr>
            <w:tcW w:type="dxa" w:w="4680"/>
            <w:shd w:val="clear" w:color="auto" w:fill="FFFFFF"/>
          </w:tcPr>
          <w:p>
            <w:r>
              <w:rPr>
                <w:b/>
                <w:sz w:val="21"/>
              </w:rPr>
              <w:t>1. Executive Summary &amp; Problem Context</w:t>
            </w:r>
          </w:p>
        </w:tc>
        <w:tc>
          <w:tcPr>
            <w:tcW w:type="dxa" w:w="4680"/>
            <w:shd w:val="clear" w:color="auto" w:fill="FFFFFF"/>
          </w:tcPr>
          <w:p>
            <w:pPr>
              <w:jc w:val="right"/>
            </w:pPr>
            <w:r>
              <w:rPr>
                <w:color w:val="545B64"/>
                <w:sz w:val="21"/>
              </w:rPr>
              <w:t>3</w:t>
            </w:r>
          </w:p>
        </w:tc>
      </w:tr>
      <w:tr>
        <w:tc>
          <w:tcPr>
            <w:tcW w:type="dxa" w:w="4680"/>
            <w:shd w:val="clear" w:color="auto" w:fill="F8F9FA"/>
          </w:tcPr>
          <w:p>
            <w:r>
              <w:rPr>
                <w:b/>
                <w:sz w:val="21"/>
              </w:rPr>
              <w:t>2. Problem Statement &amp; Mathematical Formulation</w:t>
            </w:r>
          </w:p>
        </w:tc>
        <w:tc>
          <w:tcPr>
            <w:tcW w:type="dxa" w:w="4680"/>
            <w:shd w:val="clear" w:color="auto" w:fill="F8F9FA"/>
          </w:tcPr>
          <w:p>
            <w:pPr>
              <w:jc w:val="right"/>
            </w:pPr>
            <w:r>
              <w:rPr>
                <w:color w:val="545B64"/>
                <w:sz w:val="21"/>
              </w:rPr>
              <w:t>4</w:t>
            </w:r>
          </w:p>
        </w:tc>
      </w:tr>
      <w:tr>
        <w:tc>
          <w:tcPr>
            <w:tcW w:type="dxa" w:w="4680"/>
            <w:shd w:val="clear" w:color="auto" w:fill="FFFFFF"/>
          </w:tcPr>
          <w:p>
            <w:r>
              <w:rPr>
                <w:b/>
                <w:sz w:val="21"/>
              </w:rPr>
              <w:t>3. PEAS Framework &amp; Environment Specification</w:t>
            </w:r>
          </w:p>
        </w:tc>
        <w:tc>
          <w:tcPr>
            <w:tcW w:type="dxa" w:w="4680"/>
            <w:shd w:val="clear" w:color="auto" w:fill="FFFFFF"/>
          </w:tcPr>
          <w:p>
            <w:pPr>
              <w:jc w:val="right"/>
            </w:pPr>
            <w:r>
              <w:rPr>
                <w:color w:val="545B64"/>
                <w:sz w:val="21"/>
              </w:rPr>
              <w:t>6</w:t>
            </w:r>
          </w:p>
        </w:tc>
      </w:tr>
      <w:tr>
        <w:tc>
          <w:tcPr>
            <w:tcW w:type="dxa" w:w="4680"/>
            <w:shd w:val="clear" w:color="auto" w:fill="F8F9FA"/>
          </w:tcPr>
          <w:p>
            <w:r>
              <w:rPr>
                <w:b/>
                <w:sz w:val="21"/>
              </w:rPr>
              <w:t>4. Core Algorithmic Framework (The 5 Engines)</w:t>
            </w:r>
          </w:p>
        </w:tc>
        <w:tc>
          <w:tcPr>
            <w:tcW w:type="dxa" w:w="4680"/>
            <w:shd w:val="clear" w:color="auto" w:fill="F8F9FA"/>
          </w:tcPr>
          <w:p>
            <w:pPr>
              <w:jc w:val="right"/>
            </w:pPr>
            <w:r>
              <w:rPr>
                <w:color w:val="545B64"/>
                <w:sz w:val="21"/>
              </w:rPr>
              <w:t>8</w:t>
            </w:r>
          </w:p>
        </w:tc>
      </w:tr>
      <w:tr>
        <w:tc>
          <w:tcPr>
            <w:tcW w:type="dxa" w:w="4680"/>
            <w:shd w:val="clear" w:color="auto" w:fill="FFFFFF"/>
          </w:tcPr>
          <w:p>
            <w:r>
              <w:rPr>
                <w:sz w:val="21"/>
              </w:rPr>
              <w:t xml:space="preserve">   4.1 Informed Graph Search &amp; Station Selection (A*, Greedy BFS, UCS)</w:t>
            </w:r>
          </w:p>
        </w:tc>
        <w:tc>
          <w:tcPr>
            <w:tcW w:type="dxa" w:w="4680"/>
            <w:shd w:val="clear" w:color="auto" w:fill="FFFFFF"/>
          </w:tcPr>
          <w:p>
            <w:pPr>
              <w:jc w:val="right"/>
            </w:pPr>
            <w:r>
              <w:rPr>
                <w:color w:val="545B64"/>
                <w:sz w:val="21"/>
              </w:rPr>
              <w:t>8</w:t>
            </w:r>
          </w:p>
        </w:tc>
      </w:tr>
      <w:tr>
        <w:tc>
          <w:tcPr>
            <w:tcW w:type="dxa" w:w="4680"/>
            <w:shd w:val="clear" w:color="auto" w:fill="F8F9FA"/>
          </w:tcPr>
          <w:p>
            <w:r>
              <w:rPr>
                <w:sz w:val="21"/>
              </w:rPr>
              <w:t xml:space="preserve">   4.2 Constraint Satisfaction Problem (CSP) Scheduling</w:t>
            </w:r>
          </w:p>
        </w:tc>
        <w:tc>
          <w:tcPr>
            <w:tcW w:type="dxa" w:w="4680"/>
            <w:shd w:val="clear" w:color="auto" w:fill="F8F9FA"/>
          </w:tcPr>
          <w:p>
            <w:pPr>
              <w:jc w:val="right"/>
            </w:pPr>
            <w:r>
              <w:rPr>
                <w:color w:val="545B64"/>
                <w:sz w:val="21"/>
              </w:rPr>
              <w:t>10</w:t>
            </w:r>
          </w:p>
        </w:tc>
      </w:tr>
      <w:tr>
        <w:tc>
          <w:tcPr>
            <w:tcW w:type="dxa" w:w="4680"/>
            <w:shd w:val="clear" w:color="auto" w:fill="FFFFFF"/>
          </w:tcPr>
          <w:p>
            <w:r>
              <w:rPr>
                <w:sz w:val="21"/>
              </w:rPr>
              <w:t xml:space="preserve">   4.3 Symbolic Knowledge Base &amp; Logical Inference (DPLL, Chaining)</w:t>
            </w:r>
          </w:p>
        </w:tc>
        <w:tc>
          <w:tcPr>
            <w:tcW w:type="dxa" w:w="4680"/>
            <w:shd w:val="clear" w:color="auto" w:fill="FFFFFF"/>
          </w:tcPr>
          <w:p>
            <w:pPr>
              <w:jc w:val="right"/>
            </w:pPr>
            <w:r>
              <w:rPr>
                <w:color w:val="545B64"/>
                <w:sz w:val="21"/>
              </w:rPr>
              <w:t>12</w:t>
            </w:r>
          </w:p>
        </w:tc>
      </w:tr>
      <w:tr>
        <w:tc>
          <w:tcPr>
            <w:tcW w:type="dxa" w:w="4680"/>
            <w:shd w:val="clear" w:color="auto" w:fill="F8F9FA"/>
          </w:tcPr>
          <w:p>
            <w:r>
              <w:rPr>
                <w:sz w:val="21"/>
              </w:rPr>
              <w:t xml:space="preserve">   4.4 Autonomous Multi-Agent System (FIPA-ACL Protocol)</w:t>
            </w:r>
          </w:p>
        </w:tc>
        <w:tc>
          <w:tcPr>
            <w:tcW w:type="dxa" w:w="4680"/>
            <w:shd w:val="clear" w:color="auto" w:fill="F8F9FA"/>
          </w:tcPr>
          <w:p>
            <w:pPr>
              <w:jc w:val="right"/>
            </w:pPr>
            <w:r>
              <w:rPr>
                <w:color w:val="545B64"/>
                <w:sz w:val="21"/>
              </w:rPr>
              <w:t>14</w:t>
            </w:r>
          </w:p>
        </w:tc>
      </w:tr>
      <w:tr>
        <w:tc>
          <w:tcPr>
            <w:tcW w:type="dxa" w:w="4680"/>
            <w:shd w:val="clear" w:color="auto" w:fill="FFFFFF"/>
          </w:tcPr>
          <w:p>
            <w:r>
              <w:rPr>
                <w:sz w:val="21"/>
              </w:rPr>
              <w:t xml:space="preserve">   4.5 Game-Theoretic Slot Conflict Arbitration (Nash Bargaining, Minimax)</w:t>
            </w:r>
          </w:p>
        </w:tc>
        <w:tc>
          <w:tcPr>
            <w:tcW w:type="dxa" w:w="4680"/>
            <w:shd w:val="clear" w:color="auto" w:fill="FFFFFF"/>
          </w:tcPr>
          <w:p>
            <w:pPr>
              <w:jc w:val="right"/>
            </w:pPr>
            <w:r>
              <w:rPr>
                <w:color w:val="545B64"/>
                <w:sz w:val="21"/>
              </w:rPr>
              <w:t>16</w:t>
            </w:r>
          </w:p>
        </w:tc>
      </w:tr>
      <w:tr>
        <w:tc>
          <w:tcPr>
            <w:tcW w:type="dxa" w:w="4680"/>
            <w:shd w:val="clear" w:color="auto" w:fill="F8F9FA"/>
          </w:tcPr>
          <w:p>
            <w:r>
              <w:rPr>
                <w:b/>
                <w:sz w:val="21"/>
              </w:rPr>
              <w:t>5. Real-World Geographic Dataset &amp; Spatial Modeling</w:t>
            </w:r>
          </w:p>
        </w:tc>
        <w:tc>
          <w:tcPr>
            <w:tcW w:type="dxa" w:w="4680"/>
            <w:shd w:val="clear" w:color="auto" w:fill="F8F9FA"/>
          </w:tcPr>
          <w:p>
            <w:pPr>
              <w:jc w:val="right"/>
            </w:pPr>
            <w:r>
              <w:rPr>
                <w:color w:val="545B64"/>
                <w:sz w:val="21"/>
              </w:rPr>
              <w:t>18</w:t>
            </w:r>
          </w:p>
        </w:tc>
      </w:tr>
      <w:tr>
        <w:tc>
          <w:tcPr>
            <w:tcW w:type="dxa" w:w="4680"/>
            <w:shd w:val="clear" w:color="auto" w:fill="FFFFFF"/>
          </w:tcPr>
          <w:p>
            <w:r>
              <w:rPr>
                <w:b/>
                <w:sz w:val="21"/>
              </w:rPr>
              <w:t>6. Dynamic Stress Scenarios &amp; Fault Resilience</w:t>
            </w:r>
          </w:p>
        </w:tc>
        <w:tc>
          <w:tcPr>
            <w:tcW w:type="dxa" w:w="4680"/>
            <w:shd w:val="clear" w:color="auto" w:fill="FFFFFF"/>
          </w:tcPr>
          <w:p>
            <w:pPr>
              <w:jc w:val="right"/>
            </w:pPr>
            <w:r>
              <w:rPr>
                <w:color w:val="545B64"/>
                <w:sz w:val="21"/>
              </w:rPr>
              <w:t>20</w:t>
            </w:r>
          </w:p>
        </w:tc>
      </w:tr>
      <w:tr>
        <w:tc>
          <w:tcPr>
            <w:tcW w:type="dxa" w:w="4680"/>
            <w:shd w:val="clear" w:color="auto" w:fill="F8F9FA"/>
          </w:tcPr>
          <w:p>
            <w:r>
              <w:rPr>
                <w:b/>
                <w:sz w:val="21"/>
              </w:rPr>
              <w:t>7. Empirical Evaluation &amp; Comparative Benchmark Results</w:t>
            </w:r>
          </w:p>
        </w:tc>
        <w:tc>
          <w:tcPr>
            <w:tcW w:type="dxa" w:w="4680"/>
            <w:shd w:val="clear" w:color="auto" w:fill="F8F9FA"/>
          </w:tcPr>
          <w:p>
            <w:pPr>
              <w:jc w:val="right"/>
            </w:pPr>
            <w:r>
              <w:rPr>
                <w:color w:val="545B64"/>
                <w:sz w:val="21"/>
              </w:rPr>
              <w:t>22</w:t>
            </w:r>
          </w:p>
        </w:tc>
      </w:tr>
      <w:tr>
        <w:tc>
          <w:tcPr>
            <w:tcW w:type="dxa" w:w="4680"/>
            <w:shd w:val="clear" w:color="auto" w:fill="FFFFFF"/>
          </w:tcPr>
          <w:p>
            <w:r>
              <w:rPr>
                <w:b/>
                <w:sz w:val="21"/>
              </w:rPr>
              <w:t>8. Full-Stack Software Architecture &amp; Quality Engineering</w:t>
            </w:r>
          </w:p>
        </w:tc>
        <w:tc>
          <w:tcPr>
            <w:tcW w:type="dxa" w:w="4680"/>
            <w:shd w:val="clear" w:color="auto" w:fill="FFFFFF"/>
          </w:tcPr>
          <w:p>
            <w:pPr>
              <w:jc w:val="right"/>
            </w:pPr>
            <w:r>
              <w:rPr>
                <w:color w:val="545B64"/>
                <w:sz w:val="21"/>
              </w:rPr>
              <w:t>24</w:t>
            </w:r>
          </w:p>
        </w:tc>
      </w:tr>
      <w:tr>
        <w:tc>
          <w:tcPr>
            <w:tcW w:type="dxa" w:w="4680"/>
            <w:shd w:val="clear" w:color="auto" w:fill="F8F9FA"/>
          </w:tcPr>
          <w:p>
            <w:r>
              <w:rPr>
                <w:b/>
                <w:sz w:val="21"/>
              </w:rPr>
              <w:t>9. Operational User Interface Walkthrough</w:t>
            </w:r>
          </w:p>
        </w:tc>
        <w:tc>
          <w:tcPr>
            <w:tcW w:type="dxa" w:w="4680"/>
            <w:shd w:val="clear" w:color="auto" w:fill="F8F9FA"/>
          </w:tcPr>
          <w:p>
            <w:pPr>
              <w:jc w:val="right"/>
            </w:pPr>
            <w:r>
              <w:rPr>
                <w:color w:val="545B64"/>
                <w:sz w:val="21"/>
              </w:rPr>
              <w:t>26</w:t>
            </w:r>
          </w:p>
        </w:tc>
      </w:tr>
      <w:tr>
        <w:tc>
          <w:tcPr>
            <w:tcW w:type="dxa" w:w="4680"/>
            <w:shd w:val="clear" w:color="auto" w:fill="FFFFFF"/>
          </w:tcPr>
          <w:p>
            <w:r>
              <w:rPr>
                <w:b/>
                <w:sz w:val="21"/>
              </w:rPr>
              <w:t>10. Conclusion, Limitations &amp; Future Roadmap</w:t>
            </w:r>
          </w:p>
        </w:tc>
        <w:tc>
          <w:tcPr>
            <w:tcW w:type="dxa" w:w="4680"/>
            <w:shd w:val="clear" w:color="auto" w:fill="FFFFFF"/>
          </w:tcPr>
          <w:p>
            <w:pPr>
              <w:jc w:val="right"/>
            </w:pPr>
            <w:r>
              <w:rPr>
                <w:color w:val="545B64"/>
                <w:sz w:val="21"/>
              </w:rPr>
              <w:t>28</w:t>
            </w:r>
          </w:p>
        </w:tc>
      </w:tr>
    </w:tbl>
    <w:p>
      <w:r>
        <w:br w:type="page"/>
      </w:r>
    </w:p>
    <w:p>
      <w:pPr>
        <w:keepNext/>
        <w:spacing w:before="400" w:after="160"/>
      </w:pPr>
      <w:r>
        <w:rPr>
          <w:rFonts w:ascii="Calibri" w:hAnsi="Calibri"/>
          <w:b/>
          <w:color w:val="0F1E36"/>
          <w:sz w:val="36"/>
        </w:rPr>
        <w:t>1. Executive Summary &amp; Problem Context</w:t>
      </w:r>
    </w:p>
    <w:p>
      <w:r>
        <w:t>As global urban transit rapidly transitions toward electric mobility, metropolitan charging infrastructure faces an unprecedented operational bottleneck known as the Urban EV Charging Trilemma. This challenge arises from three fundamentally competing priorities across the transportation and power ecosystem:</w:t>
      </w:r>
    </w:p>
    <w:p>
      <w:r>
        <w:rPr>
          <w:b/>
        </w:rPr>
        <w:t xml:space="preserve">1. Electric Vehicle Drivers (Demand Side): </w:t>
      </w:r>
      <w:r>
        <w:t>Seek to minimize total journey duration—comprising en-route travel time, station queuing latency, and charging duration—while preventing battery depletion (maintaining State of Charge &gt; 0%) and meeting strict user-specified departure deadlines.</w:t>
      </w:r>
    </w:p>
    <w:p>
      <w:r>
        <w:rPr>
          <w:b/>
        </w:rPr>
        <w:t xml:space="preserve">2. Charging Station Operators (Service Side): </w:t>
      </w:r>
      <w:r>
        <w:t>Aim to maximize charger bay utilization, ensure continuous revenue throughput, avoid hardware thermal stress, and balance utilization across fast DC chargers (50–150 kW) and standard AC ports (7.4–22 kW).</w:t>
      </w:r>
    </w:p>
    <w:p>
      <w:r>
        <w:rPr>
          <w:b/>
        </w:rPr>
        <w:t xml:space="preserve">3. Electrical Grid Operators (Resource Side): </w:t>
      </w:r>
      <w:r>
        <w:t>Must guarantee that aggregate coincident power draw from fast chargers never breaches local distribution substation thermal limits (rated at 300–450 kW). Grid operators must also smooth peak-to-average demand ratios and prioritize on-site zero-marginal-cost renewable generation (solar photovoltaic arrays).</w:t>
      </w:r>
    </w:p>
    <w:tbl>
      <w:tblPr>
        <w:tblW w:type="auto" w:w="0"/>
        <w:jc w:val="center"/>
        <w:tblLook w:firstColumn="1" w:firstRow="1" w:lastColumn="0" w:lastRow="0" w:noHBand="0" w:noVBand="1" w:val="04A0"/>
      </w:tblPr>
      <w:tblGrid>
        <w:gridCol w:w="9360"/>
      </w:tblGrid>
      <w:tr>
        <w:tc>
          <w:tcPr>
            <w:tcW w:type="dxa" w:w="9360"/>
            <w:shd w:val="clear" w:color="auto" w:fill="F2F8FD"/>
            <w:tcMar>
              <w:top w:w="120" w:type="dxa"/>
              <w:bottom w:w="120" w:type="dxa"/>
              <w:left w:w="180" w:type="dxa"/>
              <w:right w:w="180" w:type="dxa"/>
            </w:tcMar>
          </w:tcPr>
          <w:p>
            <w:pPr>
              <w:spacing w:after="0"/>
            </w:pPr>
            <w:r>
              <w:rPr>
                <w:b/>
                <w:color w:val="0972D3"/>
                <w:sz w:val="21"/>
              </w:rPr>
              <w:t>★ Operational Trilemma Finding</w:t>
              <w:br/>
            </w:r>
            <w:r>
              <w:rPr>
                <w:color w:val="16191F"/>
                <w:sz w:val="21"/>
              </w:rPr>
              <w:t>Conventional heuristic strategies—such as uncoordinated First-Come-First-Served (FCFS) queues or Greedy Nearest-Station dispatch—routinely fail during peak commute windows. They trigger herd behavior toward prominent metro hubs, resulting in 40+ minute driver queues, severe transformer overloads, and high rejection rates.</w:t>
            </w:r>
          </w:p>
        </w:tc>
      </w:tr>
    </w:tbl>
    <w:p>
      <w:pPr>
        <w:spacing w:after="80"/>
      </w:pPr>
    </w:p>
    <w:p>
      <w:r>
        <w:t>To solve this challenge, this project presents the Intelligent EV Charging &amp; Resource Management System, an enterprise-grade decision-support platform built on classical artificial intelligence principles. Rather than relying on black-box probabilistic models that lack explainability, our architecture integrates five deterministic AI reasoning engines: informed heuristic search (A*), constraint satisfaction programming (CSP), first-order symbolic logic inference (DPLL SAT &amp; Robinson Resolution), decentralized multi-agent coordination (FIPA-ACL), and cooperative game-theoretic bargaining (Nash Bargaining Solutions).</w:t>
      </w:r>
    </w:p>
    <w:p>
      <w:pPr>
        <w:keepNext/>
        <w:spacing w:before="400" w:after="160"/>
      </w:pPr>
      <w:r>
        <w:rPr>
          <w:rFonts w:ascii="Calibri" w:hAnsi="Calibri"/>
          <w:b/>
          <w:color w:val="0F1E36"/>
          <w:sz w:val="36"/>
        </w:rPr>
        <w:t>2. Problem Statement &amp; Mathematical Formulation</w:t>
      </w:r>
    </w:p>
    <w:p>
      <w:r>
        <w:t>The urban electric vehicle routing and energy scheduling problem is mathematically formulated as a constrained multi-objective optimization problem over a discretized scheduling horizon.</w:t>
      </w:r>
    </w:p>
    <w:p>
      <w:pPr>
        <w:keepNext/>
        <w:spacing w:before="280" w:after="120"/>
      </w:pPr>
      <w:r>
        <w:rPr>
          <w:rFonts w:ascii="Calibri" w:hAnsi="Calibri"/>
          <w:b/>
          <w:color w:val="0972D3"/>
          <w:sz w:val="28"/>
        </w:rPr>
        <w:t>2.1 Global Multi-Objective Optimization Function</w:t>
      </w:r>
    </w:p>
    <w:p>
      <w:r>
        <w:t>Let V represent the set of active electric vehicles, S represent the set of charging stations, and T represent the discretized time horizon (divided into 15-minute intervals). The system seeks an optimal assignment vector X that minimizes the global system cost function Φ(X):</w:t>
      </w:r>
    </w:p>
    <w:p>
      <w:r>
        <w:t xml:space="preserve">    Minimize:  Φ(X) = Σ [ w1 · t_wait(i) + w2 · d_travel(i) + w3 · C_charge(i) ] - w4 · E_solar_used</w:t>
        <w:br/>
        <w:t xml:space="preserve">    for all vehicles i ∈ V</w:t>
      </w:r>
    </w:p>
    <w:p>
      <w:r>
        <w:t>Where the weighting parameters satisfy Σ w_k = 1.0, balancing the following core metrics:</w:t>
      </w:r>
    </w:p>
    <w:p>
      <w:r>
        <w:t>•  t_wait(i): Expected queuing delay experienced by vehicle i before accessing a charging bay (minutes).</w:t>
      </w:r>
    </w:p>
    <w:p>
      <w:r>
        <w:t>•  d_travel(i): Road-network travel distance from vehicle i's current coordinate to the assigned station (km).</w:t>
      </w:r>
    </w:p>
    <w:p>
      <w:r>
        <w:t>•  C_charge(i): Total monetary cost incurred based on published station tariffs and energy consumed (₹ / INR).</w:t>
      </w:r>
    </w:p>
    <w:p>
      <w:r>
        <w:t>•  E_solar_used: Total kilowatt-hours dispatched directly from localized solar PV arrays rather than the utility grid.</w:t>
      </w:r>
    </w:p>
    <w:p>
      <w:pPr>
        <w:keepNext/>
        <w:spacing w:before="280" w:after="120"/>
      </w:pPr>
      <w:r>
        <w:rPr>
          <w:rFonts w:ascii="Calibri" w:hAnsi="Calibri"/>
          <w:b/>
          <w:color w:val="0972D3"/>
          <w:sz w:val="28"/>
        </w:rPr>
        <w:t>2.2 System Operational Constraints</w:t>
      </w:r>
    </w:p>
    <w:p>
      <w:r>
        <w:t>The optimization vector X is bounded by five rigid constraints: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E36"/>
          </w:tcPr>
          <w:p>
            <w:r>
              <w:rPr>
                <w:b/>
                <w:color w:val="FFFFFF"/>
                <w:sz w:val="19"/>
              </w:rPr>
              <w:t>Constraint Name</w:t>
            </w:r>
          </w:p>
        </w:tc>
        <w:tc>
          <w:tcPr>
            <w:tcW w:type="dxa" w:w="3120"/>
            <w:shd w:val="clear" w:color="auto" w:fill="0F1E36"/>
          </w:tcPr>
          <w:p>
            <w:r>
              <w:rPr>
                <w:b/>
                <w:color w:val="FFFFFF"/>
                <w:sz w:val="19"/>
              </w:rPr>
              <w:t>Mathematical Formulation</w:t>
            </w:r>
          </w:p>
        </w:tc>
        <w:tc>
          <w:tcPr>
            <w:tcW w:type="dxa" w:w="3120"/>
            <w:shd w:val="clear" w:color="auto" w:fill="0F1E36"/>
          </w:tcPr>
          <w:p>
            <w:r>
              <w:rPr>
                <w:b/>
                <w:color w:val="FFFFFF"/>
                <w:sz w:val="19"/>
              </w:rPr>
              <w:t>Physical Engineering Interpretation</w:t>
            </w:r>
          </w:p>
        </w:tc>
      </w:tr>
      <w:tr>
        <w:tc>
          <w:tcPr>
            <w:tcW w:type="dxa" w:w="3120"/>
            <w:shd w:val="clear" w:color="auto" w:fill="FFFFFF"/>
            <w:tcMar>
              <w:top w:w="80" w:type="dxa"/>
              <w:bottom w:w="80" w:type="dxa"/>
              <w:left w:w="100" w:type="dxa"/>
              <w:right w:w="100" w:type="dxa"/>
            </w:tcMar>
          </w:tcPr>
          <w:p>
            <w:r>
              <w:rPr>
                <w:b/>
                <w:sz w:val="19"/>
              </w:rPr>
              <w:t>C1: Substation Transformer Thermal Limit</w:t>
            </w:r>
          </w:p>
        </w:tc>
        <w:tc>
          <w:tcPr>
            <w:tcW w:type="dxa" w:w="3120"/>
            <w:shd w:val="clear" w:color="auto" w:fill="FFFFFF"/>
            <w:tcMar>
              <w:top w:w="80" w:type="dxa"/>
              <w:bottom w:w="80" w:type="dxa"/>
              <w:left w:w="100" w:type="dxa"/>
              <w:right w:w="100" w:type="dxa"/>
            </w:tcMar>
          </w:tcPr>
          <w:p>
            <w:r>
              <w:rPr>
                <w:rFonts w:ascii="Courier New" w:hAnsi="Courier New"/>
                <w:sz w:val="19"/>
              </w:rPr>
              <w:t>Σ P_s(t) ≤ P_grid_max(t), ∀ t ∈ T</w:t>
            </w:r>
          </w:p>
        </w:tc>
        <w:tc>
          <w:tcPr>
            <w:tcW w:type="dxa" w:w="3120"/>
            <w:shd w:val="clear" w:color="auto" w:fill="FFFFFF"/>
            <w:tcMar>
              <w:top w:w="80" w:type="dxa"/>
              <w:bottom w:w="80" w:type="dxa"/>
              <w:left w:w="100" w:type="dxa"/>
              <w:right w:w="100" w:type="dxa"/>
            </w:tcMar>
          </w:tcPr>
          <w:p>
            <w:r>
              <w:rPr>
                <w:sz w:val="19"/>
              </w:rPr>
              <w:t>Aggregate power across all stations connected to the node cannot exceed the transformer thermal ceiling (300–450 kW).</w:t>
            </w:r>
          </w:p>
        </w:tc>
      </w:tr>
      <w:tr>
        <w:tc>
          <w:tcPr>
            <w:tcW w:type="dxa" w:w="3120"/>
            <w:shd w:val="clear" w:color="auto" w:fill="F8F9FA"/>
            <w:tcMar>
              <w:top w:w="80" w:type="dxa"/>
              <w:bottom w:w="80" w:type="dxa"/>
              <w:left w:w="100" w:type="dxa"/>
              <w:right w:w="100" w:type="dxa"/>
            </w:tcMar>
          </w:tcPr>
          <w:p>
            <w:r>
              <w:rPr>
                <w:b/>
                <w:sz w:val="19"/>
              </w:rPr>
              <w:t>C2: Station Physical Capacity</w:t>
            </w:r>
          </w:p>
        </w:tc>
        <w:tc>
          <w:tcPr>
            <w:tcW w:type="dxa" w:w="3120"/>
            <w:shd w:val="clear" w:color="auto" w:fill="F8F9FA"/>
            <w:tcMar>
              <w:top w:w="80" w:type="dxa"/>
              <w:bottom w:w="80" w:type="dxa"/>
              <w:left w:w="100" w:type="dxa"/>
              <w:right w:w="100" w:type="dxa"/>
            </w:tcMar>
          </w:tcPr>
          <w:p>
            <w:r>
              <w:rPr>
                <w:rFonts w:ascii="Courier New" w:hAnsi="Courier New"/>
                <w:sz w:val="19"/>
              </w:rPr>
              <w:t>Σ P_{s,k}(t) ≤ P_{s,max}, ∀ s ∈ S, ∀ t</w:t>
            </w:r>
          </w:p>
        </w:tc>
        <w:tc>
          <w:tcPr>
            <w:tcW w:type="dxa" w:w="3120"/>
            <w:shd w:val="clear" w:color="auto" w:fill="F8F9FA"/>
            <w:tcMar>
              <w:top w:w="80" w:type="dxa"/>
              <w:bottom w:w="80" w:type="dxa"/>
              <w:left w:w="100" w:type="dxa"/>
              <w:right w:w="100" w:type="dxa"/>
            </w:tcMar>
          </w:tcPr>
          <w:p>
            <w:r>
              <w:rPr>
                <w:sz w:val="19"/>
              </w:rPr>
              <w:t>Total power drawn at any single station cannot exceed its dedicated service entrance capacity.</w:t>
            </w:r>
          </w:p>
        </w:tc>
      </w:tr>
      <w:tr>
        <w:tc>
          <w:tcPr>
            <w:tcW w:type="dxa" w:w="3120"/>
            <w:shd w:val="clear" w:color="auto" w:fill="FFFFFF"/>
            <w:tcMar>
              <w:top w:w="80" w:type="dxa"/>
              <w:bottom w:w="80" w:type="dxa"/>
              <w:left w:w="100" w:type="dxa"/>
              <w:right w:w="100" w:type="dxa"/>
            </w:tcMar>
          </w:tcPr>
          <w:p>
            <w:r>
              <w:rPr>
                <w:b/>
                <w:sz w:val="19"/>
              </w:rPr>
              <w:t>C3: Charger Port Exclusivity</w:t>
            </w:r>
          </w:p>
        </w:tc>
        <w:tc>
          <w:tcPr>
            <w:tcW w:type="dxa" w:w="3120"/>
            <w:shd w:val="clear" w:color="auto" w:fill="FFFFFF"/>
            <w:tcMar>
              <w:top w:w="80" w:type="dxa"/>
              <w:bottom w:w="80" w:type="dxa"/>
              <w:left w:w="100" w:type="dxa"/>
              <w:right w:w="100" w:type="dxa"/>
            </w:tcMar>
          </w:tcPr>
          <w:p>
            <w:r>
              <w:rPr>
                <w:rFonts w:ascii="Courier New" w:hAnsi="Courier New"/>
                <w:sz w:val="19"/>
              </w:rPr>
              <w:t>Σ 1_{X_i = (s, k, t)} ≤ 1, ∀ s, k, t</w:t>
            </w:r>
          </w:p>
        </w:tc>
        <w:tc>
          <w:tcPr>
            <w:tcW w:type="dxa" w:w="3120"/>
            <w:shd w:val="clear" w:color="auto" w:fill="FFFFFF"/>
            <w:tcMar>
              <w:top w:w="80" w:type="dxa"/>
              <w:bottom w:w="80" w:type="dxa"/>
              <w:left w:w="100" w:type="dxa"/>
              <w:right w:w="100" w:type="dxa"/>
            </w:tcMar>
          </w:tcPr>
          <w:p>
            <w:r>
              <w:rPr>
                <w:sz w:val="19"/>
              </w:rPr>
              <w:t>No physical charging bay (k) can accommodate more than one vehicle during any time slot t.</w:t>
            </w:r>
          </w:p>
        </w:tc>
      </w:tr>
      <w:tr>
        <w:tc>
          <w:tcPr>
            <w:tcW w:type="dxa" w:w="3120"/>
            <w:shd w:val="clear" w:color="auto" w:fill="F8F9FA"/>
            <w:tcMar>
              <w:top w:w="80" w:type="dxa"/>
              <w:bottom w:w="80" w:type="dxa"/>
              <w:left w:w="100" w:type="dxa"/>
              <w:right w:w="100" w:type="dxa"/>
            </w:tcMar>
          </w:tcPr>
          <w:p>
            <w:r>
              <w:rPr>
                <w:b/>
                <w:sz w:val="19"/>
              </w:rPr>
              <w:t>C4: User Departure Deadline</w:t>
            </w:r>
          </w:p>
        </w:tc>
        <w:tc>
          <w:tcPr>
            <w:tcW w:type="dxa" w:w="3120"/>
            <w:shd w:val="clear" w:color="auto" w:fill="F8F9FA"/>
            <w:tcMar>
              <w:top w:w="80" w:type="dxa"/>
              <w:bottom w:w="80" w:type="dxa"/>
              <w:left w:w="100" w:type="dxa"/>
              <w:right w:w="100" w:type="dxa"/>
            </w:tcMar>
          </w:tcPr>
          <w:p>
            <w:r>
              <w:rPr>
                <w:rFonts w:ascii="Courier New" w:hAnsi="Courier New"/>
                <w:sz w:val="19"/>
              </w:rPr>
              <w:t>t_start(i) + t_duration(i) ≤ t_deadline(i), ∀ i</w:t>
            </w:r>
          </w:p>
        </w:tc>
        <w:tc>
          <w:tcPr>
            <w:tcW w:type="dxa" w:w="3120"/>
            <w:shd w:val="clear" w:color="auto" w:fill="F8F9FA"/>
            <w:tcMar>
              <w:top w:w="80" w:type="dxa"/>
              <w:bottom w:w="80" w:type="dxa"/>
              <w:left w:w="100" w:type="dxa"/>
              <w:right w:w="100" w:type="dxa"/>
            </w:tcMar>
          </w:tcPr>
          <w:p>
            <w:r>
              <w:rPr>
                <w:sz w:val="19"/>
              </w:rPr>
              <w:t>The charging session must conclude before the EV owner's mandatory departure deadline.</w:t>
            </w:r>
          </w:p>
        </w:tc>
      </w:tr>
      <w:tr>
        <w:tc>
          <w:tcPr>
            <w:tcW w:type="dxa" w:w="3120"/>
            <w:shd w:val="clear" w:color="auto" w:fill="FFFFFF"/>
            <w:tcMar>
              <w:top w:w="80" w:type="dxa"/>
              <w:bottom w:w="80" w:type="dxa"/>
              <w:left w:w="100" w:type="dxa"/>
              <w:right w:w="100" w:type="dxa"/>
            </w:tcMar>
          </w:tcPr>
          <w:p>
            <w:r>
              <w:rPr>
                <w:b/>
                <w:sz w:val="19"/>
              </w:rPr>
              <w:t>C5: Emergency Vehicle Invariance</w:t>
            </w:r>
          </w:p>
        </w:tc>
        <w:tc>
          <w:tcPr>
            <w:tcW w:type="dxa" w:w="3120"/>
            <w:shd w:val="clear" w:color="auto" w:fill="FFFFFF"/>
            <w:tcMar>
              <w:top w:w="80" w:type="dxa"/>
              <w:bottom w:w="80" w:type="dxa"/>
              <w:left w:w="100" w:type="dxa"/>
              <w:right w:w="100" w:type="dxa"/>
            </w:tcMar>
          </w:tcPr>
          <w:p>
            <w:r>
              <w:rPr>
                <w:rFonts w:ascii="Courier New" w:hAnsi="Courier New"/>
                <w:sz w:val="19"/>
              </w:rPr>
              <w:t>Priority(e) = CRITICAL ⇒ Preempt Low Priority</w:t>
            </w:r>
          </w:p>
        </w:tc>
        <w:tc>
          <w:tcPr>
            <w:tcW w:type="dxa" w:w="3120"/>
            <w:shd w:val="clear" w:color="auto" w:fill="FFFFFF"/>
            <w:tcMar>
              <w:top w:w="80" w:type="dxa"/>
              <w:bottom w:w="80" w:type="dxa"/>
              <w:left w:w="100" w:type="dxa"/>
              <w:right w:w="100" w:type="dxa"/>
            </w:tcMar>
          </w:tcPr>
          <w:p>
            <w:r>
              <w:rPr>
                <w:sz w:val="19"/>
              </w:rPr>
              <w:t>Emergency responders (e.g., Ambulance 108) must receive immediate 100% full-rate allocation without queue delay.</w:t>
            </w:r>
          </w:p>
        </w:tc>
      </w:tr>
    </w:tbl>
    <w:p>
      <w:r>
        <w:br w:type="page"/>
      </w:r>
    </w:p>
    <w:p>
      <w:pPr>
        <w:keepNext/>
        <w:spacing w:before="400" w:after="160"/>
      </w:pPr>
      <w:r>
        <w:rPr>
          <w:rFonts w:ascii="Calibri" w:hAnsi="Calibri"/>
          <w:b/>
          <w:color w:val="0F1E36"/>
          <w:sz w:val="36"/>
        </w:rPr>
        <w:t>3. PEAS Framework &amp; Environment Specification</w:t>
      </w:r>
    </w:p>
    <w:p>
      <w:r>
        <w:t>In accordance with Russell &amp; Norvig's classical AI paradigm, the intelligent agent architecture is formalised via a complete PEAS (Performance Measure, Environment, Actuators, Sensors) specification.</w:t>
      </w:r>
    </w:p>
    <w:tbl>
      <w:tblPr>
        <w:tblW w:type="auto" w:w="0"/>
        <w:jc w:val="center"/>
        <w:tblLook w:firstColumn="1" w:firstRow="1" w:lastColumn="0" w:lastRow="0" w:noHBand="0" w:noVBand="1" w:val="04A0"/>
      </w:tblPr>
      <w:tblGrid>
        <w:gridCol w:w="4680"/>
        <w:gridCol w:w="4680"/>
      </w:tblGrid>
      <w:tr>
        <w:tc>
          <w:tcPr>
            <w:tcW w:type="dxa" w:w="4680"/>
            <w:shd w:val="clear" w:color="auto" w:fill="0F1E36"/>
          </w:tcPr>
          <w:p>
            <w:r>
              <w:rPr>
                <w:b/>
                <w:color w:val="FFFFFF"/>
                <w:sz w:val="20"/>
              </w:rPr>
              <w:t>PEAS Dimension</w:t>
            </w:r>
          </w:p>
        </w:tc>
        <w:tc>
          <w:tcPr>
            <w:tcW w:type="dxa" w:w="4680"/>
            <w:shd w:val="clear" w:color="auto" w:fill="0F1E36"/>
          </w:tcPr>
          <w:p>
            <w:r>
              <w:rPr>
                <w:b/>
                <w:color w:val="FFFFFF"/>
                <w:sz w:val="20"/>
              </w:rPr>
              <w:t>System Realization &amp; Technical Correlates</w:t>
            </w:r>
          </w:p>
        </w:tc>
      </w:tr>
      <w:tr>
        <w:tc>
          <w:tcPr>
            <w:tcW w:type="dxa" w:w="4680"/>
            <w:shd w:val="clear" w:color="auto" w:fill="FFFFFF"/>
            <w:tcMar>
              <w:top w:w="100" w:type="dxa"/>
              <w:bottom w:w="100" w:type="dxa"/>
              <w:left w:w="120" w:type="dxa"/>
              <w:right w:w="120" w:type="dxa"/>
            </w:tcMar>
          </w:tcPr>
          <w:p>
            <w:r>
              <w:rPr>
                <w:b/>
                <w:sz w:val="20"/>
              </w:rPr>
              <w:t>Performance Measure (P)</w:t>
            </w:r>
          </w:p>
        </w:tc>
        <w:tc>
          <w:tcPr>
            <w:tcW w:type="dxa" w:w="4680"/>
            <w:shd w:val="clear" w:color="auto" w:fill="FFFFFF"/>
            <w:tcMar>
              <w:top w:w="100" w:type="dxa"/>
              <w:bottom w:w="100" w:type="dxa"/>
              <w:left w:w="120" w:type="dxa"/>
              <w:right w:w="120" w:type="dxa"/>
            </w:tcMar>
          </w:tcPr>
          <w:p>
            <w:r>
              <w:rPr>
                <w:sz w:val="19"/>
              </w:rPr>
              <w:t>• Driver Waiting Time: Minimise average queue delay across all vehicles (Target: &lt; 5.0 minutes).</w:t>
              <w:br/>
              <w:t>• Grid Thermal Safety: Maintain zero (0) transformer overload incidents exceeding maximum rating.</w:t>
              <w:br/>
              <w:t>• Bay Utilization: Sustain balanced charger utilization above 85% across active metro hubs.</w:t>
              <w:br/>
              <w:t>• Emergency Service: Guarantee 100% on-time priority allocation for critical emergency fleets.</w:t>
              <w:br/>
              <w:t>• Renewable Integration: Maximize utilization of localized solar PV energy reserves (120 kW peak).</w:t>
              <w:br/>
              <w:t>• Cost Efficiency: Minimize driver tariffs through off-peak and renewable power scheduling.</w:t>
            </w:r>
          </w:p>
        </w:tc>
      </w:tr>
      <w:tr>
        <w:tc>
          <w:tcPr>
            <w:tcW w:type="dxa" w:w="4680"/>
            <w:shd w:val="clear" w:color="auto" w:fill="F8F9FA"/>
            <w:tcMar>
              <w:top w:w="100" w:type="dxa"/>
              <w:bottom w:w="100" w:type="dxa"/>
              <w:left w:w="120" w:type="dxa"/>
              <w:right w:w="120" w:type="dxa"/>
            </w:tcMar>
          </w:tcPr>
          <w:p>
            <w:r>
              <w:rPr>
                <w:b/>
                <w:sz w:val="20"/>
              </w:rPr>
              <w:t>Environment (E)</w:t>
            </w:r>
          </w:p>
        </w:tc>
        <w:tc>
          <w:tcPr>
            <w:tcW w:type="dxa" w:w="4680"/>
            <w:shd w:val="clear" w:color="auto" w:fill="F8F9FA"/>
            <w:tcMar>
              <w:top w:w="100" w:type="dxa"/>
              <w:bottom w:w="100" w:type="dxa"/>
              <w:left w:w="120" w:type="dxa"/>
              <w:right w:w="120" w:type="dxa"/>
            </w:tcMar>
          </w:tcPr>
          <w:p>
            <w:r>
              <w:rPr>
                <w:sz w:val="19"/>
              </w:rPr>
              <w:t>• Road Network Topology: Urban metropolitan road network graph with distance metrics and routing nodes.</w:t>
              <w:br/>
              <w:t>• Heterogeneous Stations: 72 verified charging hubs across Indian metros (Shell, BPCL, Ather, Jio-bp, Zeon).</w:t>
              <w:br/>
              <w:t>• Multimodal Hardware: Dual-port chargers including CCS2 Fast DC (50–150 kW) and Type-2 AC (7.4–22 kW).</w:t>
              <w:br/>
              <w:t>• Electrical Microgrid: Substation transformers with dynamic baseload curves and thermal thresholds.</w:t>
              <w:br/>
              <w:t>• Meteorological Profile: Diurnal solar photovoltaic generation curve peaking at 120 kW midday.</w:t>
              <w:br/>
              <w:t>• Vehicle Demand: Dynamic influx of commuter private EVs, commercial taxi fleets, and emergency units.</w:t>
            </w:r>
          </w:p>
        </w:tc>
      </w:tr>
      <w:tr>
        <w:tc>
          <w:tcPr>
            <w:tcW w:type="dxa" w:w="4680"/>
            <w:shd w:val="clear" w:color="auto" w:fill="FFFFFF"/>
            <w:tcMar>
              <w:top w:w="100" w:type="dxa"/>
              <w:bottom w:w="100" w:type="dxa"/>
              <w:left w:w="120" w:type="dxa"/>
              <w:right w:w="120" w:type="dxa"/>
            </w:tcMar>
          </w:tcPr>
          <w:p>
            <w:r>
              <w:rPr>
                <w:b/>
                <w:sz w:val="20"/>
              </w:rPr>
              <w:t>Actuators (A)</w:t>
            </w:r>
          </w:p>
        </w:tc>
        <w:tc>
          <w:tcPr>
            <w:tcW w:type="dxa" w:w="4680"/>
            <w:shd w:val="clear" w:color="auto" w:fill="FFFFFF"/>
            <w:tcMar>
              <w:top w:w="100" w:type="dxa"/>
              <w:bottom w:w="100" w:type="dxa"/>
              <w:left w:w="120" w:type="dxa"/>
              <w:right w:w="120" w:type="dxa"/>
            </w:tcMar>
          </w:tcPr>
          <w:p>
            <w:r>
              <w:rPr>
                <w:sz w:val="19"/>
              </w:rPr>
              <w:t>• Route &amp; Station Recommendation: Assigning EVs to spatial station coordinates.</w:t>
              <w:br/>
              <w:t>• Charger Port Reservation: Allocating physical charger hardware connectors.</w:t>
              <w:br/>
              <w:t>• Discrete Slot Scheduling: Booking explicit 15-minute start and finish timestamps.</w:t>
              <w:br/>
              <w:t>• Power Level Throttling: Stepwise dynamic power adjustment (25 kW, 50 kW, 100 kW, 150 kW).</w:t>
              <w:br/>
              <w:t>• Emergency Preemption: Halting or shifting flexible charging sessions for emergency responders.</w:t>
              <w:br/>
              <w:t>• Renewable Energy Dispatch: Switching charger power supply to localized solar inverter output.</w:t>
            </w:r>
          </w:p>
        </w:tc>
      </w:tr>
      <w:tr>
        <w:tc>
          <w:tcPr>
            <w:tcW w:type="dxa" w:w="4680"/>
            <w:shd w:val="clear" w:color="auto" w:fill="F8F9FA"/>
            <w:tcMar>
              <w:top w:w="100" w:type="dxa"/>
              <w:bottom w:w="100" w:type="dxa"/>
              <w:left w:w="120" w:type="dxa"/>
              <w:right w:w="120" w:type="dxa"/>
            </w:tcMar>
          </w:tcPr>
          <w:p>
            <w:r>
              <w:rPr>
                <w:b/>
                <w:sz w:val="20"/>
              </w:rPr>
              <w:t>Sensors (S)</w:t>
            </w:r>
          </w:p>
        </w:tc>
        <w:tc>
          <w:tcPr>
            <w:tcW w:type="dxa" w:w="4680"/>
            <w:shd w:val="clear" w:color="auto" w:fill="F8F9FA"/>
            <w:tcMar>
              <w:top w:w="100" w:type="dxa"/>
              <w:bottom w:w="100" w:type="dxa"/>
              <w:left w:w="120" w:type="dxa"/>
              <w:right w:w="120" w:type="dxa"/>
            </w:tcMar>
          </w:tcPr>
          <w:p>
            <w:r>
              <w:rPr>
                <w:sz w:val="19"/>
              </w:rPr>
              <w:t>• EV Telemetry Sensors: Current battery State of Charge (SoC %), battery pack capacity (kWh), GPS coordinates.</w:t>
              <w:br/>
              <w:t>• Charger Hardware Sensors: Port availability status (AVAILABLE, CHARGING, FAULT), plug compatibility.</w:t>
              <w:br/>
              <w:t>• Grid Monitoring Meters: Substation active load telemetry (kW) and transformer temperature alarms.</w:t>
              <w:br/>
              <w:t>• Solar Inverter Telemetry: Real-time irradiance and solar generation output (kW).</w:t>
            </w:r>
          </w:p>
        </w:tc>
      </w:tr>
    </w:tbl>
    <w:p>
      <w:pPr>
        <w:keepNext/>
        <w:spacing w:before="280" w:after="120"/>
      </w:pPr>
      <w:r>
        <w:rPr>
          <w:rFonts w:ascii="Calibri" w:hAnsi="Calibri"/>
          <w:b/>
          <w:color w:val="0972D3"/>
          <w:sz w:val="28"/>
        </w:rPr>
        <w:t>3.2 Environment Properties Classification</w:t>
      </w:r>
    </w:p>
    <w:p>
      <w:pPr>
        <w:spacing w:after="60"/>
      </w:pPr>
      <w:r>
        <w:rPr>
          <w:b/>
        </w:rPr>
        <w:t xml:space="preserve">•  Fully vs. Partially Observable: </w:t>
      </w:r>
      <w:r>
        <w:t>Partially Observable: Individual EV agents only possess local telemetry; the coordinator agent reconstructs global environmental state through explicit FIPA-ACL sensor messaging.</w:t>
      </w:r>
    </w:p>
    <w:p>
      <w:pPr>
        <w:spacing w:after="60"/>
      </w:pPr>
      <w:r>
        <w:rPr>
          <w:b/>
        </w:rPr>
        <w:t xml:space="preserve">•  Deterministic vs. Stochastic: </w:t>
      </w:r>
      <w:r>
        <w:t>Deterministic Core: All algorithm state transitions, heuristic functions, CSP solvers, and logical inferences are 100% deterministic, mathematically reproducible, and verifiable.</w:t>
      </w:r>
    </w:p>
    <w:p>
      <w:pPr>
        <w:spacing w:after="60"/>
      </w:pPr>
      <w:r>
        <w:rPr>
          <w:b/>
        </w:rPr>
        <w:t xml:space="preserve">•  Episodic vs. Sequential: </w:t>
      </w:r>
      <w:r>
        <w:t>Sequential: Charging assignments and power allocations at time step t directly alter future battery levels, queue sizes, and transformer thermal conditions at time t+1.</w:t>
      </w:r>
    </w:p>
    <w:p>
      <w:pPr>
        <w:spacing w:after="60"/>
      </w:pPr>
      <w:r>
        <w:rPr>
          <w:b/>
        </w:rPr>
        <w:t xml:space="preserve">•  Static vs. Dynamic: </w:t>
      </w:r>
      <w:r>
        <w:t>Dynamic: EV requests arrive asynchronously, station hardware can experience unexpected fault outages, and grid transformer baseload shifts continuously while decisions are computed.</w:t>
      </w:r>
    </w:p>
    <w:p>
      <w:pPr>
        <w:spacing w:after="60"/>
      </w:pPr>
      <w:r>
        <w:rPr>
          <w:b/>
        </w:rPr>
        <w:t xml:space="preserve">•  Discrete vs. Continuous: </w:t>
      </w:r>
      <w:r>
        <w:t>Discrete Time &amp; States: Simulation and scheduling horizons are discretized into standard 15-minute intervals with discrete charging power tiers.</w:t>
      </w:r>
    </w:p>
    <w:p>
      <w:pPr>
        <w:spacing w:after="60"/>
      </w:pPr>
      <w:r>
        <w:rPr>
          <w:b/>
        </w:rPr>
        <w:t xml:space="preserve">•  Single vs. Multi-Agent: </w:t>
      </w:r>
      <w:r>
        <w:t>Multi-Agent: Autonomous software agents represent vehicles, stations, solar resources, and grid nodes, interacting cooperatively and competitively.</w:t>
      </w:r>
    </w:p>
    <w:p>
      <w:r>
        <w:br w:type="page"/>
      </w:r>
    </w:p>
    <w:p>
      <w:pPr>
        <w:keepNext/>
        <w:spacing w:before="400" w:after="160"/>
      </w:pPr>
      <w:r>
        <w:rPr>
          <w:rFonts w:ascii="Calibri" w:hAnsi="Calibri"/>
          <w:b/>
          <w:color w:val="0F1E36"/>
          <w:sz w:val="36"/>
        </w:rPr>
        <w:t>4. Core Algorithmic Framework (The 5 Engines)</w:t>
      </w:r>
    </w:p>
    <w:p>
      <w:r>
        <w:t>The system's core intelligence is powered by five classical artificial intelligence engines working in tandem. Each engine addresses a distinct operational phase in the decision pipeline.</w:t>
      </w:r>
    </w:p>
    <w:p>
      <w:pPr>
        <w:keepNext/>
        <w:spacing w:before="280" w:after="120"/>
      </w:pPr>
      <w:r>
        <w:rPr>
          <w:rFonts w:ascii="Calibri" w:hAnsi="Calibri"/>
          <w:b/>
          <w:color w:val="0972D3"/>
          <w:sz w:val="28"/>
        </w:rPr>
        <w:t>4.1 Engine 1: Informed Graph Search &amp; Heuristic Station Selection</w:t>
      </w:r>
    </w:p>
    <w:p>
      <w:r>
        <w:t>When an EV submits a charging request, the system evaluates the candidate charging station network using classical graph search algorithms. While uninformed algorithms (Breadth-First Search, Depth-First Search, and Uniform Cost Search) are benchmarked for comparative evaluation, the production routing engine utilizes an admissible A* search.</w:t>
      </w:r>
    </w:p>
    <w:p>
      <w:r>
        <w:t>Evaluation Function:   f(n) = g(n) + h(n)</w:t>
        <w:br/>
        <w:t>•  g(n): Exact path cost from vehicle origin to node n (cumulative travel distance and road segment latency).</w:t>
        <w:br/>
        <w:t>•  h(n): Admissible multi-attribute heuristic estimating remaining cost from node n to the optimal candidate hub:</w:t>
        <w:br/>
        <w:t xml:space="preserve">       h(n) = α · EuclideanDistance(n, Goal) + β · QueueLatencyPenalty + γ · TariffDifferential</w:t>
      </w:r>
    </w:p>
    <w:p>
      <w:r>
        <w:t>Admissibility Guarantee: The Euclidean straight-line distance is guaranteed never to overestimate the actual road network distance (triangle inequality), ensuring A* yields mathematically optimal path recommendations with complete search space pruning.</w:t>
      </w:r>
    </w:p>
    <w:p>
      <w:pPr>
        <w:keepNext/>
        <w:spacing w:before="280" w:after="120"/>
      </w:pPr>
      <w:r>
        <w:rPr>
          <w:rFonts w:ascii="Calibri" w:hAnsi="Calibri"/>
          <w:b/>
          <w:color w:val="0972D3"/>
          <w:sz w:val="28"/>
        </w:rPr>
        <w:t>4.2 Engine 2: Backtracking Constraint Satisfaction Problem (CSP) Scheduler</w:t>
      </w:r>
    </w:p>
    <w:p>
      <w:r>
        <w:t>Once candidate charging stations are identified, the vehicle must be assigned an exact physical charger port and time slot. This is formalized as a Constraint Satisfaction Problem: CSP = ⟨X, D, C⟩.</w:t>
      </w:r>
    </w:p>
    <w:p>
      <w:r>
        <w:t>•  Variables (X): X = {Session_i | i ∈ Active_EVs}, where each variable represents an assigned session.</w:t>
        <w:br/>
        <w:t>•  Domain (D): D_i = {(Station_s, Port_k, TimeSlot_t) | s ∈ S, k ∈ Ports(s), t ∈ Available_Slots}.</w:t>
        <w:br/>
        <w:t>•  Constraints (C): 8 physical constraints including non-overlap, port connector matching, departure deadlines, and transformer limits.</w:t>
      </w:r>
    </w:p>
    <w:p>
      <w:r>
        <w:t>The CSP solver utilizes an optimized Backtracking Search pipeline integrating:</w:t>
      </w:r>
    </w:p>
    <w:p>
      <w:r>
        <w:t>1. Minimum Remaining Values (MRV): Variable ordering heuristic selecting the EV with the fewest valid charging slots remaining (fail-first principle).</w:t>
      </w:r>
    </w:p>
    <w:p>
      <w:r>
        <w:t>2. Degree Heuristic: Tie-breaker prioritizing vehicles with the highest number of constraint interactions (e.g., overlapping departure deadlines).</w:t>
      </w:r>
    </w:p>
    <w:p>
      <w:r>
        <w:t>3. Least Constraining Value (LCV): Value ordering heuristic selecting the time slot that leaves the maximum number of available options for unassigned vehicles.</w:t>
      </w:r>
    </w:p>
    <w:p>
      <w:r>
        <w:t>4. Forward Checking &amp; AC-3: Enforcing arc consistency after each assignment to prune incompatible values from neighbouring domains before recursive descent.</w:t>
      </w:r>
    </w:p>
    <w:p>
      <w:pPr>
        <w:keepNext/>
        <w:spacing w:before="280" w:after="120"/>
      </w:pPr>
      <w:r>
        <w:rPr>
          <w:rFonts w:ascii="Calibri" w:hAnsi="Calibri"/>
          <w:b/>
          <w:color w:val="0972D3"/>
          <w:sz w:val="28"/>
        </w:rPr>
        <w:t>4.3 Engine 3: Symbolic Knowledge Base &amp; Logical Inference Engine</w:t>
      </w:r>
    </w:p>
    <w:p>
      <w:r>
        <w:t>To ensure 100% auditable, deterministic governance over safety and business rules, the system maintains a symbolic Knowledge Base (KB) operating over formal propositional and first-order logic representations.</w:t>
      </w:r>
    </w:p>
    <w:p>
      <w:r>
        <w:t>The logic subsystem provides three verification mechanisms:</w:t>
      </w:r>
    </w:p>
    <w:p>
      <w:r>
        <w:t>•  Forward Chaining: Production rule engine that triggers successive inference passes when new telemetry facts (e.g., CriticalBattery(EV-07), SubstationHeavyLoad) are asserted, deriving operational directives such as ImmediateFastChargeDispatch.</w:t>
      </w:r>
    </w:p>
    <w:p>
      <w:r>
        <w:t>•  Backward Chaining: Goal-driven verification that begins with a proposed allocation hypothesis (e.g., EligibleForFastCharging(EV-07, Station-3)) and recursively proves all antecedent conditions.</w:t>
      </w:r>
    </w:p>
    <w:p>
      <w:r>
        <w:t>•  Robinson Resolution Refutation &amp; DPLL: Converts policy clauses into Conjunctive Normal Form (CNF) and establishes safety satisfiability via Davis-Putnam-Logemann-Loveland (DPLL) backtracking and resolution theorem proving.</w:t>
      </w:r>
    </w:p>
    <w:p>
      <w:pPr>
        <w:keepNext/>
        <w:spacing w:before="280" w:after="120"/>
      </w:pPr>
      <w:r>
        <w:rPr>
          <w:rFonts w:ascii="Calibri" w:hAnsi="Calibri"/>
          <w:b/>
          <w:color w:val="0972D3"/>
          <w:sz w:val="28"/>
        </w:rPr>
        <w:t>4.4 Engine 4: Autonomous Multi-Agent System (FIPA-ACL Architecture)</w:t>
      </w:r>
    </w:p>
    <w:p>
      <w:r>
        <w:t>Rather than relying on a brittle monolithic architecture, physical entities operate as decentralized, autonomous software agents adhering to the international IEEE FIPA-ACL (Agent Communication Language) standard.</w:t>
      </w:r>
    </w:p>
    <w:p>
      <w:r>
        <w:t>The multi-agent society comprises five specialized agent classes:</w:t>
      </w:r>
    </w:p>
    <w:p>
      <w:r>
        <w:t>1. EV Agent: Represents the vehicle, monitors State of Charge, calculates required energy ΔE, and negotiates charging slots.</w:t>
      </w:r>
    </w:p>
    <w:p>
      <w:r>
        <w:t>2. Station Agent: Oversees physical charging hardware, monitors port occupancy, temperature, and local transformer headroom.</w:t>
      </w:r>
    </w:p>
    <w:p>
      <w:r>
        <w:t>3. Grid Agent: Monitors aggregate microgrid load against substation transformer limits, enforcing dynamic load shedding when required.</w:t>
      </w:r>
    </w:p>
    <w:p>
      <w:r>
        <w:t>4. Energy Agent: Tracks localized solar PV generation curves and injects zero-carbon, low-tariff energy into active charging bays.</w:t>
      </w:r>
    </w:p>
    <w:p>
      <w:r>
        <w:t>5. Coordinator Agent: Facilitates global auctioning, triggers CSP scheduling passes, and arbitrates multi-agent disputes.</w:t>
      </w:r>
    </w:p>
    <w:p>
      <w:pPr>
        <w:keepNext/>
        <w:spacing w:before="280" w:after="120"/>
      </w:pPr>
      <w:r>
        <w:rPr>
          <w:rFonts w:ascii="Calibri" w:hAnsi="Calibri"/>
          <w:b/>
          <w:color w:val="0972D3"/>
          <w:sz w:val="28"/>
        </w:rPr>
        <w:t>4.5 Engine 5: Game-Theoretic Conflict Resolution &amp; Nash Bargaining</w:t>
      </w:r>
    </w:p>
    <w:p>
      <w:r>
        <w:t>When multiple autonomous vehicles contend for the same high-demand charging bay and time slot under tight departure constraints, the Coordinator Agent convenes a formal game-theoretic bargaining session.</w:t>
      </w:r>
    </w:p>
    <w:p>
      <w:r>
        <w:t>•  Nash Bargaining Solution (NBS): For cooperative negotiation between peer commuter EVs, the system computes the allocation along the Pareto-optimal utility frontier that maximizes the Nash product: S* = argmax [ (U_1 - d_1) · (U_2 - d_2) ], where d_1 and d_2 represent the fallback disagreement payoff values (traveling to an alternate distant hub).</w:t>
      </w:r>
    </w:p>
    <w:p>
      <w:r>
        <w:t>•  Minimax Adversarial Pruning: For non-cooperative resource competition, the problem is modeled as a two-player zero-sum game and solved using Minimax search with Alpha-Beta pruning, ensuring optimal worst-case bounds.</w:t>
      </w:r>
    </w:p>
    <w:p>
      <w:r>
        <w:br w:type="page"/>
      </w:r>
    </w:p>
    <w:p>
      <w:pPr>
        <w:keepNext/>
        <w:spacing w:before="400" w:after="160"/>
      </w:pPr>
      <w:r>
        <w:rPr>
          <w:rFonts w:ascii="Calibri" w:hAnsi="Calibri"/>
          <w:b/>
          <w:color w:val="0F1E36"/>
          <w:sz w:val="36"/>
        </w:rPr>
        <w:t>5. Real-World Geographic Dataset &amp; Spatial Modeling</w:t>
      </w:r>
    </w:p>
    <w:p>
      <w:r>
        <w:t>To ensure authentic physical realism, the system models real-world urban electric vehicle infrastructure across Indian metropolitan regions (specifically centered on Bengaluru's high-density tech corridor). The geographic dataset incorporates 72 authentic commercial charging stations operated by major charging networks: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E36"/>
          </w:tcPr>
          <w:p>
            <w:r>
              <w:rPr>
                <w:b/>
                <w:color w:val="FFFFFF"/>
                <w:sz w:val="19"/>
              </w:rPr>
              <w:t>Station Name &amp; Operator</w:t>
            </w:r>
          </w:p>
        </w:tc>
        <w:tc>
          <w:tcPr>
            <w:tcW w:type="dxa" w:w="1872"/>
            <w:shd w:val="clear" w:color="auto" w:fill="0F1E36"/>
          </w:tcPr>
          <w:p>
            <w:r>
              <w:rPr>
                <w:b/>
                <w:color w:val="FFFFFF"/>
                <w:sz w:val="19"/>
              </w:rPr>
              <w:t>GPS Coordinates</w:t>
            </w:r>
          </w:p>
        </w:tc>
        <w:tc>
          <w:tcPr>
            <w:tcW w:type="dxa" w:w="1872"/>
            <w:shd w:val="clear" w:color="auto" w:fill="0F1E36"/>
          </w:tcPr>
          <w:p>
            <w:r>
              <w:rPr>
                <w:b/>
                <w:color w:val="FFFFFF"/>
                <w:sz w:val="19"/>
              </w:rPr>
              <w:t>Hardware Ports</w:t>
            </w:r>
          </w:p>
        </w:tc>
        <w:tc>
          <w:tcPr>
            <w:tcW w:type="dxa" w:w="1872"/>
            <w:shd w:val="clear" w:color="auto" w:fill="0F1E36"/>
          </w:tcPr>
          <w:p>
            <w:r>
              <w:rPr>
                <w:b/>
                <w:color w:val="FFFFFF"/>
                <w:sz w:val="19"/>
              </w:rPr>
              <w:t>Tariff</w:t>
            </w:r>
          </w:p>
        </w:tc>
        <w:tc>
          <w:tcPr>
            <w:tcW w:type="dxa" w:w="1872"/>
            <w:shd w:val="clear" w:color="auto" w:fill="0F1E36"/>
          </w:tcPr>
          <w:p>
            <w:r>
              <w:rPr>
                <w:b/>
                <w:color w:val="FFFFFF"/>
                <w:sz w:val="19"/>
              </w:rPr>
              <w:t>Substation Node</w:t>
            </w:r>
          </w:p>
        </w:tc>
      </w:tr>
      <w:tr>
        <w:tc>
          <w:tcPr>
            <w:tcW w:type="dxa" w:w="1872"/>
            <w:shd w:val="clear" w:color="auto" w:fill="FFFFFF"/>
            <w:tcMar>
              <w:top w:w="80" w:type="dxa"/>
              <w:bottom w:w="80" w:type="dxa"/>
              <w:left w:w="90" w:type="dxa"/>
              <w:right w:w="90" w:type="dxa"/>
            </w:tcMar>
          </w:tcPr>
          <w:p>
            <w:r>
              <w:rPr>
                <w:b/>
                <w:sz w:val="18"/>
              </w:rPr>
              <w:t>Shell Recharge - Indiranagar</w:t>
            </w:r>
          </w:p>
        </w:tc>
        <w:tc>
          <w:tcPr>
            <w:tcW w:type="dxa" w:w="1872"/>
            <w:shd w:val="clear" w:color="auto" w:fill="FFFFFF"/>
            <w:tcMar>
              <w:top w:w="80" w:type="dxa"/>
              <w:bottom w:w="80" w:type="dxa"/>
              <w:left w:w="90" w:type="dxa"/>
              <w:right w:w="90" w:type="dxa"/>
            </w:tcMar>
          </w:tcPr>
          <w:p>
            <w:r>
              <w:rPr>
                <w:sz w:val="18"/>
              </w:rPr>
              <w:t>12.9784, 77.6408</w:t>
            </w:r>
          </w:p>
        </w:tc>
        <w:tc>
          <w:tcPr>
            <w:tcW w:type="dxa" w:w="1872"/>
            <w:shd w:val="clear" w:color="auto" w:fill="FFFFFF"/>
            <w:tcMar>
              <w:top w:w="80" w:type="dxa"/>
              <w:bottom w:w="80" w:type="dxa"/>
              <w:left w:w="90" w:type="dxa"/>
              <w:right w:w="90" w:type="dxa"/>
            </w:tcMar>
          </w:tcPr>
          <w:p>
            <w:r>
              <w:rPr>
                <w:sz w:val="18"/>
              </w:rPr>
              <w:t>4 Ports (2x 60kW CCS2, 2x 22kW Type-2)</w:t>
            </w:r>
          </w:p>
        </w:tc>
        <w:tc>
          <w:tcPr>
            <w:tcW w:type="dxa" w:w="1872"/>
            <w:shd w:val="clear" w:color="auto" w:fill="FFFFFF"/>
            <w:tcMar>
              <w:top w:w="80" w:type="dxa"/>
              <w:bottom w:w="80" w:type="dxa"/>
              <w:left w:w="90" w:type="dxa"/>
              <w:right w:w="90" w:type="dxa"/>
            </w:tcMar>
          </w:tcPr>
          <w:p>
            <w:r>
              <w:rPr>
                <w:sz w:val="18"/>
              </w:rPr>
              <w:t>₹18.50 / kWh</w:t>
            </w:r>
          </w:p>
        </w:tc>
        <w:tc>
          <w:tcPr>
            <w:tcW w:type="dxa" w:w="1872"/>
            <w:shd w:val="clear" w:color="auto" w:fill="FFFFFF"/>
            <w:tcMar>
              <w:top w:w="80" w:type="dxa"/>
              <w:bottom w:w="80" w:type="dxa"/>
              <w:left w:w="90" w:type="dxa"/>
              <w:right w:w="90" w:type="dxa"/>
            </w:tcMar>
          </w:tcPr>
          <w:p>
            <w:r>
              <w:rPr>
                <w:sz w:val="18"/>
              </w:rPr>
              <w:t>450 kW Substation</w:t>
            </w:r>
          </w:p>
        </w:tc>
      </w:tr>
      <w:tr>
        <w:tc>
          <w:tcPr>
            <w:tcW w:type="dxa" w:w="1872"/>
            <w:shd w:val="clear" w:color="auto" w:fill="F8F9FA"/>
            <w:tcMar>
              <w:top w:w="80" w:type="dxa"/>
              <w:bottom w:w="80" w:type="dxa"/>
              <w:left w:w="90" w:type="dxa"/>
              <w:right w:w="90" w:type="dxa"/>
            </w:tcMar>
          </w:tcPr>
          <w:p>
            <w:r>
              <w:rPr>
                <w:b/>
                <w:sz w:val="18"/>
              </w:rPr>
              <w:t>BPCL Energy Station - Koramangala</w:t>
            </w:r>
          </w:p>
        </w:tc>
        <w:tc>
          <w:tcPr>
            <w:tcW w:type="dxa" w:w="1872"/>
            <w:shd w:val="clear" w:color="auto" w:fill="F8F9FA"/>
            <w:tcMar>
              <w:top w:w="80" w:type="dxa"/>
              <w:bottom w:w="80" w:type="dxa"/>
              <w:left w:w="90" w:type="dxa"/>
              <w:right w:w="90" w:type="dxa"/>
            </w:tcMar>
          </w:tcPr>
          <w:p>
            <w:r>
              <w:rPr>
                <w:sz w:val="18"/>
              </w:rPr>
              <w:t>12.9352, 77.6245</w:t>
            </w:r>
          </w:p>
        </w:tc>
        <w:tc>
          <w:tcPr>
            <w:tcW w:type="dxa" w:w="1872"/>
            <w:shd w:val="clear" w:color="auto" w:fill="F8F9FA"/>
            <w:tcMar>
              <w:top w:w="80" w:type="dxa"/>
              <w:bottom w:w="80" w:type="dxa"/>
              <w:left w:w="90" w:type="dxa"/>
              <w:right w:w="90" w:type="dxa"/>
            </w:tcMar>
          </w:tcPr>
          <w:p>
            <w:r>
              <w:rPr>
                <w:sz w:val="18"/>
              </w:rPr>
              <w:t>6 Ports (4x 120kW CCS2, 2x 50kW CCS2)</w:t>
            </w:r>
          </w:p>
        </w:tc>
        <w:tc>
          <w:tcPr>
            <w:tcW w:type="dxa" w:w="1872"/>
            <w:shd w:val="clear" w:color="auto" w:fill="F8F9FA"/>
            <w:tcMar>
              <w:top w:w="80" w:type="dxa"/>
              <w:bottom w:w="80" w:type="dxa"/>
              <w:left w:w="90" w:type="dxa"/>
              <w:right w:w="90" w:type="dxa"/>
            </w:tcMar>
          </w:tcPr>
          <w:p>
            <w:r>
              <w:rPr>
                <w:sz w:val="18"/>
              </w:rPr>
              <w:t>₹17.00 / kWh</w:t>
            </w:r>
          </w:p>
        </w:tc>
        <w:tc>
          <w:tcPr>
            <w:tcW w:type="dxa" w:w="1872"/>
            <w:shd w:val="clear" w:color="auto" w:fill="F8F9FA"/>
            <w:tcMar>
              <w:top w:w="80" w:type="dxa"/>
              <w:bottom w:w="80" w:type="dxa"/>
              <w:left w:w="90" w:type="dxa"/>
              <w:right w:w="90" w:type="dxa"/>
            </w:tcMar>
          </w:tcPr>
          <w:p>
            <w:r>
              <w:rPr>
                <w:sz w:val="18"/>
              </w:rPr>
              <w:t>400 kW Substation</w:t>
            </w:r>
          </w:p>
        </w:tc>
      </w:tr>
      <w:tr>
        <w:tc>
          <w:tcPr>
            <w:tcW w:type="dxa" w:w="1872"/>
            <w:shd w:val="clear" w:color="auto" w:fill="FFFFFF"/>
            <w:tcMar>
              <w:top w:w="80" w:type="dxa"/>
              <w:bottom w:w="80" w:type="dxa"/>
              <w:left w:w="90" w:type="dxa"/>
              <w:right w:w="90" w:type="dxa"/>
            </w:tcMar>
          </w:tcPr>
          <w:p>
            <w:r>
              <w:rPr>
                <w:b/>
                <w:sz w:val="18"/>
              </w:rPr>
              <w:t>Ather Grid Hub - Whitefield</w:t>
            </w:r>
          </w:p>
        </w:tc>
        <w:tc>
          <w:tcPr>
            <w:tcW w:type="dxa" w:w="1872"/>
            <w:shd w:val="clear" w:color="auto" w:fill="FFFFFF"/>
            <w:tcMar>
              <w:top w:w="80" w:type="dxa"/>
              <w:bottom w:w="80" w:type="dxa"/>
              <w:left w:w="90" w:type="dxa"/>
              <w:right w:w="90" w:type="dxa"/>
            </w:tcMar>
          </w:tcPr>
          <w:p>
            <w:r>
              <w:rPr>
                <w:sz w:val="18"/>
              </w:rPr>
              <w:t>12.9698, 77.7499</w:t>
            </w:r>
          </w:p>
        </w:tc>
        <w:tc>
          <w:tcPr>
            <w:tcW w:type="dxa" w:w="1872"/>
            <w:shd w:val="clear" w:color="auto" w:fill="FFFFFF"/>
            <w:tcMar>
              <w:top w:w="80" w:type="dxa"/>
              <w:bottom w:w="80" w:type="dxa"/>
              <w:left w:w="90" w:type="dxa"/>
              <w:right w:w="90" w:type="dxa"/>
            </w:tcMar>
          </w:tcPr>
          <w:p>
            <w:r>
              <w:rPr>
                <w:sz w:val="18"/>
              </w:rPr>
              <w:t>6 Ports (2x 150kW CCS2, 4x 22kW Type-2)</w:t>
            </w:r>
          </w:p>
        </w:tc>
        <w:tc>
          <w:tcPr>
            <w:tcW w:type="dxa" w:w="1872"/>
            <w:shd w:val="clear" w:color="auto" w:fill="FFFFFF"/>
            <w:tcMar>
              <w:top w:w="80" w:type="dxa"/>
              <w:bottom w:w="80" w:type="dxa"/>
              <w:left w:w="90" w:type="dxa"/>
              <w:right w:w="90" w:type="dxa"/>
            </w:tcMar>
          </w:tcPr>
          <w:p>
            <w:r>
              <w:rPr>
                <w:sz w:val="18"/>
              </w:rPr>
              <w:t>₹16.50 / kWh</w:t>
            </w:r>
          </w:p>
        </w:tc>
        <w:tc>
          <w:tcPr>
            <w:tcW w:type="dxa" w:w="1872"/>
            <w:shd w:val="clear" w:color="auto" w:fill="FFFFFF"/>
            <w:tcMar>
              <w:top w:w="80" w:type="dxa"/>
              <w:bottom w:w="80" w:type="dxa"/>
              <w:left w:w="90" w:type="dxa"/>
              <w:right w:w="90" w:type="dxa"/>
            </w:tcMar>
          </w:tcPr>
          <w:p>
            <w:r>
              <w:rPr>
                <w:sz w:val="18"/>
              </w:rPr>
              <w:t>350 kW Substation</w:t>
            </w:r>
          </w:p>
        </w:tc>
      </w:tr>
      <w:tr>
        <w:tc>
          <w:tcPr>
            <w:tcW w:type="dxa" w:w="1872"/>
            <w:shd w:val="clear" w:color="auto" w:fill="F8F9FA"/>
            <w:tcMar>
              <w:top w:w="80" w:type="dxa"/>
              <w:bottom w:w="80" w:type="dxa"/>
              <w:left w:w="90" w:type="dxa"/>
              <w:right w:w="90" w:type="dxa"/>
            </w:tcMar>
          </w:tcPr>
          <w:p>
            <w:r>
              <w:rPr>
                <w:b/>
                <w:sz w:val="18"/>
              </w:rPr>
              <w:t>Jio-bp Pulse - Electronic City</w:t>
            </w:r>
          </w:p>
        </w:tc>
        <w:tc>
          <w:tcPr>
            <w:tcW w:type="dxa" w:w="1872"/>
            <w:shd w:val="clear" w:color="auto" w:fill="F8F9FA"/>
            <w:tcMar>
              <w:top w:w="80" w:type="dxa"/>
              <w:bottom w:w="80" w:type="dxa"/>
              <w:left w:w="90" w:type="dxa"/>
              <w:right w:w="90" w:type="dxa"/>
            </w:tcMar>
          </w:tcPr>
          <w:p>
            <w:r>
              <w:rPr>
                <w:sz w:val="18"/>
              </w:rPr>
              <w:t>12.8452, 77.6602</w:t>
            </w:r>
          </w:p>
        </w:tc>
        <w:tc>
          <w:tcPr>
            <w:tcW w:type="dxa" w:w="1872"/>
            <w:shd w:val="clear" w:color="auto" w:fill="F8F9FA"/>
            <w:tcMar>
              <w:top w:w="80" w:type="dxa"/>
              <w:bottom w:w="80" w:type="dxa"/>
              <w:left w:w="90" w:type="dxa"/>
              <w:right w:w="90" w:type="dxa"/>
            </w:tcMar>
          </w:tcPr>
          <w:p>
            <w:r>
              <w:rPr>
                <w:sz w:val="18"/>
              </w:rPr>
              <w:t>8 Ports (6x 120kW CCS2, 2x 50kW CCS2)</w:t>
            </w:r>
          </w:p>
        </w:tc>
        <w:tc>
          <w:tcPr>
            <w:tcW w:type="dxa" w:w="1872"/>
            <w:shd w:val="clear" w:color="auto" w:fill="F8F9FA"/>
            <w:tcMar>
              <w:top w:w="80" w:type="dxa"/>
              <w:bottom w:w="80" w:type="dxa"/>
              <w:left w:w="90" w:type="dxa"/>
              <w:right w:w="90" w:type="dxa"/>
            </w:tcMar>
          </w:tcPr>
          <w:p>
            <w:r>
              <w:rPr>
                <w:sz w:val="18"/>
              </w:rPr>
              <w:t>₹16.00 / kWh</w:t>
            </w:r>
          </w:p>
        </w:tc>
        <w:tc>
          <w:tcPr>
            <w:tcW w:type="dxa" w:w="1872"/>
            <w:shd w:val="clear" w:color="auto" w:fill="F8F9FA"/>
            <w:tcMar>
              <w:top w:w="80" w:type="dxa"/>
              <w:bottom w:w="80" w:type="dxa"/>
              <w:left w:w="90" w:type="dxa"/>
              <w:right w:w="90" w:type="dxa"/>
            </w:tcMar>
          </w:tcPr>
          <w:p>
            <w:r>
              <w:rPr>
                <w:sz w:val="18"/>
              </w:rPr>
              <w:t>500 kW Substation</w:t>
            </w:r>
          </w:p>
        </w:tc>
      </w:tr>
      <w:tr>
        <w:tc>
          <w:tcPr>
            <w:tcW w:type="dxa" w:w="1872"/>
            <w:shd w:val="clear" w:color="auto" w:fill="FFFFFF"/>
            <w:tcMar>
              <w:top w:w="80" w:type="dxa"/>
              <w:bottom w:w="80" w:type="dxa"/>
              <w:left w:w="90" w:type="dxa"/>
              <w:right w:w="90" w:type="dxa"/>
            </w:tcMar>
          </w:tcPr>
          <w:p>
            <w:r>
              <w:rPr>
                <w:b/>
                <w:sz w:val="18"/>
              </w:rPr>
              <w:t>Zeon Charging Hub - Hebbal</w:t>
            </w:r>
          </w:p>
        </w:tc>
        <w:tc>
          <w:tcPr>
            <w:tcW w:type="dxa" w:w="1872"/>
            <w:shd w:val="clear" w:color="auto" w:fill="FFFFFF"/>
            <w:tcMar>
              <w:top w:w="80" w:type="dxa"/>
              <w:bottom w:w="80" w:type="dxa"/>
              <w:left w:w="90" w:type="dxa"/>
              <w:right w:w="90" w:type="dxa"/>
            </w:tcMar>
          </w:tcPr>
          <w:p>
            <w:r>
              <w:rPr>
                <w:sz w:val="18"/>
              </w:rPr>
              <w:t>13.0358, 77.5970</w:t>
            </w:r>
          </w:p>
        </w:tc>
        <w:tc>
          <w:tcPr>
            <w:tcW w:type="dxa" w:w="1872"/>
            <w:shd w:val="clear" w:color="auto" w:fill="FFFFFF"/>
            <w:tcMar>
              <w:top w:w="80" w:type="dxa"/>
              <w:bottom w:w="80" w:type="dxa"/>
              <w:left w:w="90" w:type="dxa"/>
              <w:right w:w="90" w:type="dxa"/>
            </w:tcMar>
          </w:tcPr>
          <w:p>
            <w:r>
              <w:rPr>
                <w:sz w:val="18"/>
              </w:rPr>
              <w:t>4 Ports (2x 50kW CCS2, 2x 22kW Type-2)</w:t>
            </w:r>
          </w:p>
        </w:tc>
        <w:tc>
          <w:tcPr>
            <w:tcW w:type="dxa" w:w="1872"/>
            <w:shd w:val="clear" w:color="auto" w:fill="FFFFFF"/>
            <w:tcMar>
              <w:top w:w="80" w:type="dxa"/>
              <w:bottom w:w="80" w:type="dxa"/>
              <w:left w:w="90" w:type="dxa"/>
              <w:right w:w="90" w:type="dxa"/>
            </w:tcMar>
          </w:tcPr>
          <w:p>
            <w:r>
              <w:rPr>
                <w:sz w:val="18"/>
              </w:rPr>
              <w:t>₹19.00 / kWh</w:t>
            </w:r>
          </w:p>
        </w:tc>
        <w:tc>
          <w:tcPr>
            <w:tcW w:type="dxa" w:w="1872"/>
            <w:shd w:val="clear" w:color="auto" w:fill="FFFFFF"/>
            <w:tcMar>
              <w:top w:w="80" w:type="dxa"/>
              <w:bottom w:w="80" w:type="dxa"/>
              <w:left w:w="90" w:type="dxa"/>
              <w:right w:w="90" w:type="dxa"/>
            </w:tcMar>
          </w:tcPr>
          <w:p>
            <w:r>
              <w:rPr>
                <w:sz w:val="18"/>
              </w:rPr>
              <w:t>300 kW Substation</w:t>
            </w:r>
          </w:p>
        </w:tc>
      </w:tr>
      <w:tr>
        <w:tc>
          <w:tcPr>
            <w:tcW w:type="dxa" w:w="1872"/>
            <w:shd w:val="clear" w:color="auto" w:fill="F8F9FA"/>
            <w:tcMar>
              <w:top w:w="80" w:type="dxa"/>
              <w:bottom w:w="80" w:type="dxa"/>
              <w:left w:w="90" w:type="dxa"/>
              <w:right w:w="90" w:type="dxa"/>
            </w:tcMar>
          </w:tcPr>
          <w:p>
            <w:r>
              <w:rPr>
                <w:b/>
                <w:sz w:val="18"/>
              </w:rPr>
              <w:t>ChargeZone - MG Road Metro</w:t>
            </w:r>
          </w:p>
        </w:tc>
        <w:tc>
          <w:tcPr>
            <w:tcW w:type="dxa" w:w="1872"/>
            <w:shd w:val="clear" w:color="auto" w:fill="F8F9FA"/>
            <w:tcMar>
              <w:top w:w="80" w:type="dxa"/>
              <w:bottom w:w="80" w:type="dxa"/>
              <w:left w:w="90" w:type="dxa"/>
              <w:right w:w="90" w:type="dxa"/>
            </w:tcMar>
          </w:tcPr>
          <w:p>
            <w:r>
              <w:rPr>
                <w:sz w:val="18"/>
              </w:rPr>
              <w:t>12.9756, 77.6066</w:t>
            </w:r>
          </w:p>
        </w:tc>
        <w:tc>
          <w:tcPr>
            <w:tcW w:type="dxa" w:w="1872"/>
            <w:shd w:val="clear" w:color="auto" w:fill="F8F9FA"/>
            <w:tcMar>
              <w:top w:w="80" w:type="dxa"/>
              <w:bottom w:w="80" w:type="dxa"/>
              <w:left w:w="90" w:type="dxa"/>
              <w:right w:w="90" w:type="dxa"/>
            </w:tcMar>
          </w:tcPr>
          <w:p>
            <w:r>
              <w:rPr>
                <w:sz w:val="18"/>
              </w:rPr>
              <w:t>4 Ports (2x 60kW CCS2, 2x 22kW Type-2)</w:t>
            </w:r>
          </w:p>
        </w:tc>
        <w:tc>
          <w:tcPr>
            <w:tcW w:type="dxa" w:w="1872"/>
            <w:shd w:val="clear" w:color="auto" w:fill="F8F9FA"/>
            <w:tcMar>
              <w:top w:w="80" w:type="dxa"/>
              <w:bottom w:w="80" w:type="dxa"/>
              <w:left w:w="90" w:type="dxa"/>
              <w:right w:w="90" w:type="dxa"/>
            </w:tcMar>
          </w:tcPr>
          <w:p>
            <w:r>
              <w:rPr>
                <w:sz w:val="18"/>
              </w:rPr>
              <w:t>₹18.00 / kWh</w:t>
            </w:r>
          </w:p>
        </w:tc>
        <w:tc>
          <w:tcPr>
            <w:tcW w:type="dxa" w:w="1872"/>
            <w:shd w:val="clear" w:color="auto" w:fill="F8F9FA"/>
            <w:tcMar>
              <w:top w:w="80" w:type="dxa"/>
              <w:bottom w:w="80" w:type="dxa"/>
              <w:left w:w="90" w:type="dxa"/>
              <w:right w:w="90" w:type="dxa"/>
            </w:tcMar>
          </w:tcPr>
          <w:p>
            <w:r>
              <w:rPr>
                <w:sz w:val="18"/>
              </w:rPr>
              <w:t>400 kW Substation</w:t>
            </w:r>
          </w:p>
        </w:tc>
      </w:tr>
    </w:tbl>
    <w:tbl>
      <w:tblPr>
        <w:tblW w:type="auto" w:w="0"/>
        <w:jc w:val="center"/>
        <w:tblLook w:firstColumn="1" w:firstRow="1" w:lastColumn="0" w:lastRow="0" w:noHBand="0" w:noVBand="1" w:val="04A0"/>
      </w:tblPr>
      <w:tblGrid>
        <w:gridCol w:w="9360"/>
      </w:tblGrid>
      <w:tr>
        <w:tc>
          <w:tcPr>
            <w:tcW w:type="dxa" w:w="9360"/>
            <w:shd w:val="clear" w:color="auto" w:fill="F2F8FD"/>
            <w:tcMar>
              <w:top w:w="120" w:type="dxa"/>
              <w:bottom w:w="120" w:type="dxa"/>
              <w:left w:w="180" w:type="dxa"/>
              <w:right w:w="180" w:type="dxa"/>
            </w:tcMar>
          </w:tcPr>
          <w:p>
            <w:pPr>
              <w:spacing w:after="0"/>
            </w:pPr>
            <w:r>
              <w:rPr>
                <w:b/>
                <w:color w:val="0972D3"/>
                <w:sz w:val="21"/>
              </w:rPr>
              <w:t>★ Data Integrity &amp; Architectural Self-Sufficiency</w:t>
              <w:br/>
            </w:r>
            <w:r>
              <w:rPr>
                <w:color w:val="16191F"/>
                <w:sz w:val="21"/>
              </w:rPr>
              <w:t>All station coordinates, power ratings, and connector types reflect verified public EV charging registry data. Vehicle movements, battery discharge profiles, solar irradiance, and transformer telemetry are dynamically computed by the discrete-event simulation engine, ensuring zero external API failure modes during mission-critical evaluation.</w:t>
            </w:r>
          </w:p>
        </w:tc>
      </w:tr>
    </w:tbl>
    <w:p>
      <w:pPr>
        <w:spacing w:after="80"/>
      </w:pPr>
    </w:p>
    <w:p>
      <w:pPr>
        <w:keepNext/>
        <w:spacing w:before="400" w:after="160"/>
      </w:pPr>
      <w:r>
        <w:rPr>
          <w:rFonts w:ascii="Calibri" w:hAnsi="Calibri"/>
          <w:b/>
          <w:color w:val="0F1E36"/>
          <w:sz w:val="36"/>
        </w:rPr>
        <w:t>6. Dynamic Stress Scenarios &amp; Fault Resilience</w:t>
      </w:r>
    </w:p>
    <w:p>
      <w:r>
        <w:t>A robust intelligent system must demonstrate resilience under extreme operational disruptions. The platform includes an automated Scenario Injection Engine capable of evaluating four critical operational stress scenarios:</w:t>
      </w:r>
    </w:p>
    <w:p>
      <w:pPr>
        <w:keepNext/>
        <w:spacing w:before="200" w:after="80"/>
      </w:pPr>
      <w:r>
        <w:rPr>
          <w:rFonts w:ascii="Calibri" w:hAnsi="Calibri"/>
          <w:b/>
          <w:color w:val="16191F"/>
          <w:sz w:val="24"/>
        </w:rPr>
        <w:t>Scenario 1: Peak Rush-Hour Influx</w:t>
      </w:r>
    </w:p>
    <w:p>
      <w:r>
        <w:t>Fleet demand surges by 300% during evening peak hours (5:00 PM – 8:00 PM). Baseline FCFS triggers catastrophic 45-minute queues and 7 transformer breaches. The proposed system activates dynamic multi-station load balancing and CSP slot shifting, reducing average wait times to 4.2 minutes with zero grid violations.</w:t>
      </w:r>
    </w:p>
    <w:p>
      <w:pPr>
        <w:keepNext/>
        <w:spacing w:before="200" w:after="80"/>
      </w:pPr>
      <w:r>
        <w:rPr>
          <w:rFonts w:ascii="Calibri" w:hAnsi="Calibri"/>
          <w:b/>
          <w:color w:val="16191F"/>
          <w:sz w:val="24"/>
        </w:rPr>
        <w:t>Scenario 2: Substation Transformer Failure</w:t>
      </w:r>
    </w:p>
    <w:p>
      <w:r>
        <w:t>A local distribution transformer suffers a sudden 50% capacity curtailment (400 kW drops to 200 kW). The Grid Agent instantly broadcasts mandatory throttling constraints. Non-critical vehicles are stepped down to 25 kW or rerouted to adjacent microgrids, preventing localized blackout.</w:t>
      </w:r>
    </w:p>
    <w:p>
      <w:pPr>
        <w:keepNext/>
        <w:spacing w:before="200" w:after="80"/>
      </w:pPr>
      <w:r>
        <w:rPr>
          <w:rFonts w:ascii="Calibri" w:hAnsi="Calibri"/>
          <w:b/>
          <w:color w:val="16191F"/>
          <w:sz w:val="24"/>
        </w:rPr>
        <w:t>Scenario 3: Station Hardware Outage</w:t>
      </w:r>
    </w:p>
    <w:p>
      <w:r>
        <w:t>A major 6-bay charging station experiences an unscheduled hardware failure. The system automatically detects bay fault alerts, prunes the faulty station from active CSP domains, and re-optimizes unaffected fleet routes via A* without driver intervention.</w:t>
      </w:r>
    </w:p>
    <w:p>
      <w:pPr>
        <w:keepNext/>
        <w:spacing w:before="200" w:after="80"/>
      </w:pPr>
      <w:r>
        <w:rPr>
          <w:rFonts w:ascii="Calibri" w:hAnsi="Calibri"/>
          <w:b/>
          <w:color w:val="16191F"/>
          <w:sz w:val="24"/>
        </w:rPr>
        <w:t>Scenario 4: Emergency Responder Preemption</w:t>
      </w:r>
    </w:p>
    <w:p>
      <w:r>
        <w:t>An emergency vehicle (Ambulance 108, Battery SoC 8%) requests immediate fast charging. The Logic Engine triggers immediate preemption: the lowest-priority commuter session is paused and relocated, and the emergency vehicle receives 150 kW maximum DC power within 0 seconds of queue time.</w:t>
      </w:r>
    </w:p>
    <w:p>
      <w:r>
        <w:br w:type="page"/>
      </w:r>
    </w:p>
    <w:p>
      <w:pPr>
        <w:keepNext/>
        <w:spacing w:before="400" w:after="160"/>
      </w:pPr>
      <w:r>
        <w:rPr>
          <w:rFonts w:ascii="Calibri" w:hAnsi="Calibri"/>
          <w:b/>
          <w:color w:val="0F1E36"/>
          <w:sz w:val="36"/>
        </w:rPr>
        <w:t>7. Empirical Evaluation &amp; Comparative Benchmark Results</w:t>
      </w:r>
    </w:p>
    <w:p>
      <w:r>
        <w:t>To rigorously quantify the advantages of the multi-agent classical AI architecture, extensive seeded Monte Carlo simulations were conducted comparing the Proposed Intelligent Policy against three standard baseline dispatching strategies:</w:t>
      </w:r>
    </w:p>
    <w:p>
      <w:r>
        <w:t>1. First-Come-First-Served (FCFS): Standard uncoordinated queueing where vehicles are served in strict arrival order.</w:t>
      </w:r>
    </w:p>
    <w:p>
      <w:r>
        <w:t>2. Nearest Station Greedy: Vehicles are routed exclusively to the geographically closest charging hub.</w:t>
      </w:r>
    </w:p>
    <w:p>
      <w:r>
        <w:t>3. Priority-Queue Baseline: Vehicles are ranked by battery emergency status without global grid capacity coordination.</w:t>
      </w:r>
    </w:p>
    <w:p>
      <w:pPr>
        <w:keepNext/>
        <w:spacing w:before="280" w:after="120"/>
      </w:pPr>
      <w:r>
        <w:rPr>
          <w:rFonts w:ascii="Calibri" w:hAnsi="Calibri"/>
          <w:b/>
          <w:color w:val="0972D3"/>
          <w:sz w:val="28"/>
        </w:rPr>
        <w:t>7.1 Quantitative Benchmark Matrix</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F1E36"/>
          </w:tcPr>
          <w:p>
            <w:r>
              <w:rPr>
                <w:b/>
                <w:color w:val="FFFFFF"/>
                <w:sz w:val="17"/>
              </w:rPr>
              <w:t>Strategy Policy</w:t>
            </w:r>
          </w:p>
        </w:tc>
        <w:tc>
          <w:tcPr>
            <w:tcW w:type="dxa" w:w="1337"/>
            <w:shd w:val="clear" w:color="auto" w:fill="0F1E36"/>
          </w:tcPr>
          <w:p>
            <w:r>
              <w:rPr>
                <w:b/>
                <w:color w:val="FFFFFF"/>
                <w:sz w:val="17"/>
              </w:rPr>
              <w:t>Avg Wait Time</w:t>
            </w:r>
          </w:p>
        </w:tc>
        <w:tc>
          <w:tcPr>
            <w:tcW w:type="dxa" w:w="1337"/>
            <w:shd w:val="clear" w:color="auto" w:fill="0F1E36"/>
          </w:tcPr>
          <w:p>
            <w:r>
              <w:rPr>
                <w:b/>
                <w:color w:val="FFFFFF"/>
                <w:sz w:val="17"/>
              </w:rPr>
              <w:t>Grid Overloads</w:t>
            </w:r>
          </w:p>
        </w:tc>
        <w:tc>
          <w:tcPr>
            <w:tcW w:type="dxa" w:w="1337"/>
            <w:shd w:val="clear" w:color="auto" w:fill="0F1E36"/>
          </w:tcPr>
          <w:p>
            <w:r>
              <w:rPr>
                <w:b/>
                <w:color w:val="FFFFFF"/>
                <w:sz w:val="17"/>
              </w:rPr>
              <w:t>Bay Utilization</w:t>
            </w:r>
          </w:p>
        </w:tc>
        <w:tc>
          <w:tcPr>
            <w:tcW w:type="dxa" w:w="1337"/>
            <w:shd w:val="clear" w:color="auto" w:fill="0F1E36"/>
          </w:tcPr>
          <w:p>
            <w:r>
              <w:rPr>
                <w:b/>
                <w:color w:val="FFFFFF"/>
                <w:sz w:val="17"/>
              </w:rPr>
              <w:t>Solar Energy Used</w:t>
            </w:r>
          </w:p>
        </w:tc>
        <w:tc>
          <w:tcPr>
            <w:tcW w:type="dxa" w:w="1337"/>
            <w:shd w:val="clear" w:color="auto" w:fill="0F1E36"/>
          </w:tcPr>
          <w:p>
            <w:r>
              <w:rPr>
                <w:b/>
                <w:color w:val="FFFFFF"/>
                <w:sz w:val="17"/>
              </w:rPr>
              <w:t>Emergency On-Time</w:t>
            </w:r>
          </w:p>
        </w:tc>
        <w:tc>
          <w:tcPr>
            <w:tcW w:type="dxa" w:w="1337"/>
            <w:shd w:val="clear" w:color="auto" w:fill="0F1E36"/>
          </w:tcPr>
          <w:p>
            <w:r>
              <w:rPr>
                <w:b/>
                <w:color w:val="FFFFFF"/>
                <w:sz w:val="17"/>
              </w:rPr>
              <w:t>Avg Cost/kWh</w:t>
            </w:r>
          </w:p>
        </w:tc>
      </w:tr>
      <w:tr>
        <w:tc>
          <w:tcPr>
            <w:tcW w:type="dxa" w:w="1337"/>
            <w:shd w:val="clear" w:color="auto" w:fill="EDF7ED"/>
            <w:tcMar>
              <w:top w:w="70" w:type="dxa"/>
              <w:bottom w:w="70" w:type="dxa"/>
              <w:left w:w="70" w:type="dxa"/>
              <w:right w:w="70" w:type="dxa"/>
            </w:tcMar>
          </w:tcPr>
          <w:p>
            <w:r>
              <w:rPr>
                <w:b/>
                <w:sz w:val="17"/>
              </w:rPr>
              <w:t>Proposed Intelligent AI System</w:t>
            </w:r>
          </w:p>
        </w:tc>
        <w:tc>
          <w:tcPr>
            <w:tcW w:type="dxa" w:w="1337"/>
            <w:shd w:val="clear" w:color="auto" w:fill="EDF7ED"/>
            <w:tcMar>
              <w:top w:w="70" w:type="dxa"/>
              <w:bottom w:w="70" w:type="dxa"/>
              <w:left w:w="70" w:type="dxa"/>
              <w:right w:w="70" w:type="dxa"/>
            </w:tcMar>
          </w:tcPr>
          <w:p>
            <w:r>
              <w:rPr>
                <w:b/>
                <w:color w:val="037F0C"/>
                <w:sz w:val="17"/>
              </w:rPr>
              <w:t>4.12 min</w:t>
            </w:r>
          </w:p>
        </w:tc>
        <w:tc>
          <w:tcPr>
            <w:tcW w:type="dxa" w:w="1337"/>
            <w:shd w:val="clear" w:color="auto" w:fill="EDF7ED"/>
            <w:tcMar>
              <w:top w:w="70" w:type="dxa"/>
              <w:bottom w:w="70" w:type="dxa"/>
              <w:left w:w="70" w:type="dxa"/>
              <w:right w:w="70" w:type="dxa"/>
            </w:tcMar>
          </w:tcPr>
          <w:p>
            <w:r>
              <w:rPr>
                <w:b/>
                <w:color w:val="037F0C"/>
                <w:sz w:val="17"/>
              </w:rPr>
              <w:t>0</w:t>
            </w:r>
          </w:p>
        </w:tc>
        <w:tc>
          <w:tcPr>
            <w:tcW w:type="dxa" w:w="1337"/>
            <w:shd w:val="clear" w:color="auto" w:fill="EDF7ED"/>
            <w:tcMar>
              <w:top w:w="70" w:type="dxa"/>
              <w:bottom w:w="70" w:type="dxa"/>
              <w:left w:w="70" w:type="dxa"/>
              <w:right w:w="70" w:type="dxa"/>
            </w:tcMar>
          </w:tcPr>
          <w:p>
            <w:r>
              <w:rPr>
                <w:b/>
                <w:color w:val="037F0C"/>
                <w:sz w:val="17"/>
              </w:rPr>
              <w:t>89.4%</w:t>
            </w:r>
          </w:p>
        </w:tc>
        <w:tc>
          <w:tcPr>
            <w:tcW w:type="dxa" w:w="1337"/>
            <w:shd w:val="clear" w:color="auto" w:fill="EDF7ED"/>
            <w:tcMar>
              <w:top w:w="70" w:type="dxa"/>
              <w:bottom w:w="70" w:type="dxa"/>
              <w:left w:w="70" w:type="dxa"/>
              <w:right w:w="70" w:type="dxa"/>
            </w:tcMar>
          </w:tcPr>
          <w:p>
            <w:r>
              <w:rPr>
                <w:b/>
                <w:color w:val="037F0C"/>
                <w:sz w:val="17"/>
              </w:rPr>
              <w:t>108.6 kWh</w:t>
            </w:r>
          </w:p>
        </w:tc>
        <w:tc>
          <w:tcPr>
            <w:tcW w:type="dxa" w:w="1337"/>
            <w:shd w:val="clear" w:color="auto" w:fill="EDF7ED"/>
            <w:tcMar>
              <w:top w:w="70" w:type="dxa"/>
              <w:bottom w:w="70" w:type="dxa"/>
              <w:left w:w="70" w:type="dxa"/>
              <w:right w:w="70" w:type="dxa"/>
            </w:tcMar>
          </w:tcPr>
          <w:p>
            <w:r>
              <w:rPr>
                <w:b/>
                <w:color w:val="037F0C"/>
                <w:sz w:val="17"/>
              </w:rPr>
              <w:t>100.0%</w:t>
            </w:r>
          </w:p>
        </w:tc>
        <w:tc>
          <w:tcPr>
            <w:tcW w:type="dxa" w:w="1337"/>
            <w:shd w:val="clear" w:color="auto" w:fill="EDF7ED"/>
            <w:tcMar>
              <w:top w:w="70" w:type="dxa"/>
              <w:bottom w:w="70" w:type="dxa"/>
              <w:left w:w="70" w:type="dxa"/>
              <w:right w:w="70" w:type="dxa"/>
            </w:tcMar>
          </w:tcPr>
          <w:p>
            <w:r>
              <w:rPr>
                <w:b/>
                <w:color w:val="037F0C"/>
                <w:sz w:val="17"/>
              </w:rPr>
              <w:t>₹16.40</w:t>
            </w:r>
          </w:p>
        </w:tc>
      </w:tr>
      <w:tr>
        <w:tc>
          <w:tcPr>
            <w:tcW w:type="dxa" w:w="1337"/>
            <w:shd w:val="clear" w:color="auto" w:fill="FFFFFF"/>
            <w:tcMar>
              <w:top w:w="70" w:type="dxa"/>
              <w:bottom w:w="70" w:type="dxa"/>
              <w:left w:w="70" w:type="dxa"/>
              <w:right w:w="70" w:type="dxa"/>
            </w:tcMar>
          </w:tcPr>
          <w:p>
            <w:r>
              <w:rPr>
                <w:sz w:val="17"/>
              </w:rPr>
              <w:t>FCFS Uncoordinated Baseline</w:t>
            </w:r>
          </w:p>
        </w:tc>
        <w:tc>
          <w:tcPr>
            <w:tcW w:type="dxa" w:w="1337"/>
            <w:shd w:val="clear" w:color="auto" w:fill="FFFFFF"/>
            <w:tcMar>
              <w:top w:w="70" w:type="dxa"/>
              <w:bottom w:w="70" w:type="dxa"/>
              <w:left w:w="70" w:type="dxa"/>
              <w:right w:w="70" w:type="dxa"/>
            </w:tcMar>
          </w:tcPr>
          <w:p>
            <w:r>
              <w:rPr>
                <w:sz w:val="17"/>
              </w:rPr>
              <w:t>18.75 min</w:t>
            </w:r>
          </w:p>
        </w:tc>
        <w:tc>
          <w:tcPr>
            <w:tcW w:type="dxa" w:w="1337"/>
            <w:shd w:val="clear" w:color="auto" w:fill="FFFFFF"/>
            <w:tcMar>
              <w:top w:w="70" w:type="dxa"/>
              <w:bottom w:w="70" w:type="dxa"/>
              <w:left w:w="70" w:type="dxa"/>
              <w:right w:w="70" w:type="dxa"/>
            </w:tcMar>
          </w:tcPr>
          <w:p>
            <w:r>
              <w:rPr>
                <w:sz w:val="17"/>
              </w:rPr>
              <w:t>8</w:t>
            </w:r>
          </w:p>
        </w:tc>
        <w:tc>
          <w:tcPr>
            <w:tcW w:type="dxa" w:w="1337"/>
            <w:shd w:val="clear" w:color="auto" w:fill="FFFFFF"/>
            <w:tcMar>
              <w:top w:w="70" w:type="dxa"/>
              <w:bottom w:w="70" w:type="dxa"/>
              <w:left w:w="70" w:type="dxa"/>
              <w:right w:w="70" w:type="dxa"/>
            </w:tcMar>
          </w:tcPr>
          <w:p>
            <w:r>
              <w:rPr>
                <w:sz w:val="17"/>
              </w:rPr>
              <w:t>62.1%</w:t>
            </w:r>
          </w:p>
        </w:tc>
        <w:tc>
          <w:tcPr>
            <w:tcW w:type="dxa" w:w="1337"/>
            <w:shd w:val="clear" w:color="auto" w:fill="FFFFFF"/>
            <w:tcMar>
              <w:top w:w="70" w:type="dxa"/>
              <w:bottom w:w="70" w:type="dxa"/>
              <w:left w:w="70" w:type="dxa"/>
              <w:right w:w="70" w:type="dxa"/>
            </w:tcMar>
          </w:tcPr>
          <w:p>
            <w:r>
              <w:rPr>
                <w:sz w:val="17"/>
              </w:rPr>
              <w:t>44.2 kWh</w:t>
            </w:r>
          </w:p>
        </w:tc>
        <w:tc>
          <w:tcPr>
            <w:tcW w:type="dxa" w:w="1337"/>
            <w:shd w:val="clear" w:color="auto" w:fill="FFFFFF"/>
            <w:tcMar>
              <w:top w:w="70" w:type="dxa"/>
              <w:bottom w:w="70" w:type="dxa"/>
              <w:left w:w="70" w:type="dxa"/>
              <w:right w:w="70" w:type="dxa"/>
            </w:tcMar>
          </w:tcPr>
          <w:p>
            <w:r>
              <w:rPr>
                <w:sz w:val="17"/>
              </w:rPr>
              <w:t>42.0%</w:t>
            </w:r>
          </w:p>
        </w:tc>
        <w:tc>
          <w:tcPr>
            <w:tcW w:type="dxa" w:w="1337"/>
            <w:shd w:val="clear" w:color="auto" w:fill="FFFFFF"/>
            <w:tcMar>
              <w:top w:w="70" w:type="dxa"/>
              <w:bottom w:w="70" w:type="dxa"/>
              <w:left w:w="70" w:type="dxa"/>
              <w:right w:w="70" w:type="dxa"/>
            </w:tcMar>
          </w:tcPr>
          <w:p>
            <w:r>
              <w:rPr>
                <w:sz w:val="17"/>
              </w:rPr>
              <w:t>₹18.85</w:t>
            </w:r>
          </w:p>
        </w:tc>
      </w:tr>
      <w:tr>
        <w:tc>
          <w:tcPr>
            <w:tcW w:type="dxa" w:w="1337"/>
            <w:shd w:val="clear" w:color="auto" w:fill="F8F9FA"/>
            <w:tcMar>
              <w:top w:w="70" w:type="dxa"/>
              <w:bottom w:w="70" w:type="dxa"/>
              <w:left w:w="70" w:type="dxa"/>
              <w:right w:w="70" w:type="dxa"/>
            </w:tcMar>
          </w:tcPr>
          <w:p>
            <w:r>
              <w:rPr>
                <w:sz w:val="17"/>
              </w:rPr>
              <w:t>Nearest Station Greedy</w:t>
            </w:r>
          </w:p>
        </w:tc>
        <w:tc>
          <w:tcPr>
            <w:tcW w:type="dxa" w:w="1337"/>
            <w:shd w:val="clear" w:color="auto" w:fill="F8F9FA"/>
            <w:tcMar>
              <w:top w:w="70" w:type="dxa"/>
              <w:bottom w:w="70" w:type="dxa"/>
              <w:left w:w="70" w:type="dxa"/>
              <w:right w:w="70" w:type="dxa"/>
            </w:tcMar>
          </w:tcPr>
          <w:p>
            <w:r>
              <w:rPr>
                <w:sz w:val="17"/>
              </w:rPr>
              <w:t>24.30 min</w:t>
            </w:r>
          </w:p>
        </w:tc>
        <w:tc>
          <w:tcPr>
            <w:tcW w:type="dxa" w:w="1337"/>
            <w:shd w:val="clear" w:color="auto" w:fill="F8F9FA"/>
            <w:tcMar>
              <w:top w:w="70" w:type="dxa"/>
              <w:bottom w:w="70" w:type="dxa"/>
              <w:left w:w="70" w:type="dxa"/>
              <w:right w:w="70" w:type="dxa"/>
            </w:tcMar>
          </w:tcPr>
          <w:p>
            <w:r>
              <w:rPr>
                <w:sz w:val="17"/>
              </w:rPr>
              <w:t>12</w:t>
            </w:r>
          </w:p>
        </w:tc>
        <w:tc>
          <w:tcPr>
            <w:tcW w:type="dxa" w:w="1337"/>
            <w:shd w:val="clear" w:color="auto" w:fill="F8F9FA"/>
            <w:tcMar>
              <w:top w:w="70" w:type="dxa"/>
              <w:bottom w:w="70" w:type="dxa"/>
              <w:left w:w="70" w:type="dxa"/>
              <w:right w:w="70" w:type="dxa"/>
            </w:tcMar>
          </w:tcPr>
          <w:p>
            <w:r>
              <w:rPr>
                <w:sz w:val="17"/>
              </w:rPr>
              <w:t>58.3%</w:t>
            </w:r>
          </w:p>
        </w:tc>
        <w:tc>
          <w:tcPr>
            <w:tcW w:type="dxa" w:w="1337"/>
            <w:shd w:val="clear" w:color="auto" w:fill="F8F9FA"/>
            <w:tcMar>
              <w:top w:w="70" w:type="dxa"/>
              <w:bottom w:w="70" w:type="dxa"/>
              <w:left w:w="70" w:type="dxa"/>
              <w:right w:w="70" w:type="dxa"/>
            </w:tcMar>
          </w:tcPr>
          <w:p>
            <w:r>
              <w:rPr>
                <w:sz w:val="17"/>
              </w:rPr>
              <w:t>38.5 kWh</w:t>
            </w:r>
          </w:p>
        </w:tc>
        <w:tc>
          <w:tcPr>
            <w:tcW w:type="dxa" w:w="1337"/>
            <w:shd w:val="clear" w:color="auto" w:fill="F8F9FA"/>
            <w:tcMar>
              <w:top w:w="70" w:type="dxa"/>
              <w:bottom w:w="70" w:type="dxa"/>
              <w:left w:w="70" w:type="dxa"/>
              <w:right w:w="70" w:type="dxa"/>
            </w:tcMar>
          </w:tcPr>
          <w:p>
            <w:r>
              <w:rPr>
                <w:sz w:val="17"/>
              </w:rPr>
              <w:t>28.5%</w:t>
            </w:r>
          </w:p>
        </w:tc>
        <w:tc>
          <w:tcPr>
            <w:tcW w:type="dxa" w:w="1337"/>
            <w:shd w:val="clear" w:color="auto" w:fill="F8F9FA"/>
            <w:tcMar>
              <w:top w:w="70" w:type="dxa"/>
              <w:bottom w:w="70" w:type="dxa"/>
              <w:left w:w="70" w:type="dxa"/>
              <w:right w:w="70" w:type="dxa"/>
            </w:tcMar>
          </w:tcPr>
          <w:p>
            <w:r>
              <w:rPr>
                <w:sz w:val="17"/>
              </w:rPr>
              <w:t>₹19.20</w:t>
            </w:r>
          </w:p>
        </w:tc>
      </w:tr>
      <w:tr>
        <w:tc>
          <w:tcPr>
            <w:tcW w:type="dxa" w:w="1337"/>
            <w:shd w:val="clear" w:color="auto" w:fill="FFFFFF"/>
            <w:tcMar>
              <w:top w:w="70" w:type="dxa"/>
              <w:bottom w:w="70" w:type="dxa"/>
              <w:left w:w="70" w:type="dxa"/>
              <w:right w:w="70" w:type="dxa"/>
            </w:tcMar>
          </w:tcPr>
          <w:p>
            <w:r>
              <w:rPr>
                <w:sz w:val="17"/>
              </w:rPr>
              <w:t>Priority Queue Baseline</w:t>
            </w:r>
          </w:p>
        </w:tc>
        <w:tc>
          <w:tcPr>
            <w:tcW w:type="dxa" w:w="1337"/>
            <w:shd w:val="clear" w:color="auto" w:fill="FFFFFF"/>
            <w:tcMar>
              <w:top w:w="70" w:type="dxa"/>
              <w:bottom w:w="70" w:type="dxa"/>
              <w:left w:w="70" w:type="dxa"/>
              <w:right w:w="70" w:type="dxa"/>
            </w:tcMar>
          </w:tcPr>
          <w:p>
            <w:r>
              <w:rPr>
                <w:sz w:val="17"/>
              </w:rPr>
              <w:t>14.10 min</w:t>
            </w:r>
          </w:p>
        </w:tc>
        <w:tc>
          <w:tcPr>
            <w:tcW w:type="dxa" w:w="1337"/>
            <w:shd w:val="clear" w:color="auto" w:fill="FFFFFF"/>
            <w:tcMar>
              <w:top w:w="70" w:type="dxa"/>
              <w:bottom w:w="70" w:type="dxa"/>
              <w:left w:w="70" w:type="dxa"/>
              <w:right w:w="70" w:type="dxa"/>
            </w:tcMar>
          </w:tcPr>
          <w:p>
            <w:r>
              <w:rPr>
                <w:sz w:val="17"/>
              </w:rPr>
              <w:t>5</w:t>
            </w:r>
          </w:p>
        </w:tc>
        <w:tc>
          <w:tcPr>
            <w:tcW w:type="dxa" w:w="1337"/>
            <w:shd w:val="clear" w:color="auto" w:fill="FFFFFF"/>
            <w:tcMar>
              <w:top w:w="70" w:type="dxa"/>
              <w:bottom w:w="70" w:type="dxa"/>
              <w:left w:w="70" w:type="dxa"/>
              <w:right w:w="70" w:type="dxa"/>
            </w:tcMar>
          </w:tcPr>
          <w:p>
            <w:r>
              <w:rPr>
                <w:sz w:val="17"/>
              </w:rPr>
              <w:t>69.8%</w:t>
            </w:r>
          </w:p>
        </w:tc>
        <w:tc>
          <w:tcPr>
            <w:tcW w:type="dxa" w:w="1337"/>
            <w:shd w:val="clear" w:color="auto" w:fill="FFFFFF"/>
            <w:tcMar>
              <w:top w:w="70" w:type="dxa"/>
              <w:bottom w:w="70" w:type="dxa"/>
              <w:left w:w="70" w:type="dxa"/>
              <w:right w:w="70" w:type="dxa"/>
            </w:tcMar>
          </w:tcPr>
          <w:p>
            <w:r>
              <w:rPr>
                <w:sz w:val="17"/>
              </w:rPr>
              <w:t>61.0 kWh</w:t>
            </w:r>
          </w:p>
        </w:tc>
        <w:tc>
          <w:tcPr>
            <w:tcW w:type="dxa" w:w="1337"/>
            <w:shd w:val="clear" w:color="auto" w:fill="FFFFFF"/>
            <w:tcMar>
              <w:top w:w="70" w:type="dxa"/>
              <w:bottom w:w="70" w:type="dxa"/>
              <w:left w:w="70" w:type="dxa"/>
              <w:right w:w="70" w:type="dxa"/>
            </w:tcMar>
          </w:tcPr>
          <w:p>
            <w:r>
              <w:rPr>
                <w:sz w:val="17"/>
              </w:rPr>
              <w:t>75.0%</w:t>
            </w:r>
          </w:p>
        </w:tc>
        <w:tc>
          <w:tcPr>
            <w:tcW w:type="dxa" w:w="1337"/>
            <w:shd w:val="clear" w:color="auto" w:fill="FFFFFF"/>
            <w:tcMar>
              <w:top w:w="70" w:type="dxa"/>
              <w:bottom w:w="70" w:type="dxa"/>
              <w:left w:w="70" w:type="dxa"/>
              <w:right w:w="70" w:type="dxa"/>
            </w:tcMar>
          </w:tcPr>
          <w:p>
            <w:r>
              <w:rPr>
                <w:sz w:val="17"/>
              </w:rPr>
              <w:t>₹18.10</w:t>
            </w:r>
          </w:p>
        </w:tc>
      </w:tr>
    </w:tbl>
    <w:tbl>
      <w:tblPr>
        <w:tblW w:type="auto" w:w="0"/>
        <w:jc w:val="center"/>
        <w:tblLook w:firstColumn="1" w:firstRow="1" w:lastColumn="0" w:lastRow="0" w:noHBand="0" w:noVBand="1" w:val="04A0"/>
      </w:tblPr>
      <w:tblGrid>
        <w:gridCol w:w="9360"/>
      </w:tblGrid>
      <w:tr>
        <w:tc>
          <w:tcPr>
            <w:tcW w:type="dxa" w:w="9360"/>
            <w:shd w:val="clear" w:color="auto" w:fill="F2F8FD"/>
            <w:tcMar>
              <w:top w:w="120" w:type="dxa"/>
              <w:bottom w:w="120" w:type="dxa"/>
              <w:left w:w="180" w:type="dxa"/>
              <w:right w:w="180" w:type="dxa"/>
            </w:tcMar>
          </w:tcPr>
          <w:p>
            <w:pPr>
              <w:spacing w:after="0"/>
            </w:pPr>
            <w:r>
              <w:rPr>
                <w:b/>
                <w:color w:val="0972D3"/>
                <w:sz w:val="21"/>
              </w:rPr>
              <w:t>★ Empirical Superiority Summary</w:t>
              <w:br/>
            </w:r>
            <w:r>
              <w:rPr>
                <w:color w:val="16191F"/>
                <w:sz w:val="21"/>
              </w:rPr>
              <w:t>Key Benchmark Findings:</w:t>
              <w:br/>
              <w:t>• 78.0% Reduction in Driver Waiting Latency compared to standard First-Come-First-Served dispatching.</w:t>
              <w:br/>
              <w:t>• 100% Elimination of Substation Transformer Overloads (0 incidents vs. 8–12 breaches under uncoordinated baselines).</w:t>
              <w:br/>
              <w:t>• 145.7% Increase in Localized Solar PV Utilization through intelligent daytime energy-aware scheduling.</w:t>
              <w:br/>
              <w:t>• 100% Guaranteed Zero-Latency Preemption for Emergency Service Responders.</w:t>
            </w:r>
          </w:p>
        </w:tc>
      </w:tr>
    </w:tbl>
    <w:p>
      <w:pPr>
        <w:spacing w:after="80"/>
      </w:pPr>
    </w:p>
    <w:p>
      <w:pPr>
        <w:keepNext/>
        <w:spacing w:before="400" w:after="160"/>
      </w:pPr>
      <w:r>
        <w:rPr>
          <w:rFonts w:ascii="Calibri" w:hAnsi="Calibri"/>
          <w:b/>
          <w:color w:val="0F1E36"/>
          <w:sz w:val="36"/>
        </w:rPr>
        <w:t>8. Full-Stack Software Architecture &amp; Quality Engineering</w:t>
      </w:r>
    </w:p>
    <w:p>
      <w:r>
        <w:t>The system is engineered as a decoupled modern web application adhering to production software engineering standards:</w:t>
      </w:r>
    </w:p>
    <w:p>
      <w:r>
        <w:rPr>
          <w:b/>
        </w:rPr>
        <w:t>•  Backend Microservices (FastAPI &amp; Python 3.11):</w:t>
      </w:r>
    </w:p>
    <w:p>
      <w:r>
        <w:t>Built using FastAPI with asynchronous request pipelines, strict Pydantic data schemas, and high-performance discrete-event simulation loops. All algorithm implementations (search, CSP, DPLL, game theory) are developed natively in pure Python without external mathematical solver dependencies, guaranteeing complete transparency and deterministic auditability.</w:t>
      </w:r>
    </w:p>
    <w:p>
      <w:r>
        <w:rPr>
          <w:b/>
        </w:rPr>
        <w:t>•  Frontend User Interface (React 18 &amp; Vite):</w:t>
      </w:r>
    </w:p>
    <w:p>
      <w:r>
        <w:t>Constructed using React 18, Vite, and TailwindCSS, styled strictly according to official AWS Management Console design tokens. The interface incorporates official AWS Amazon Ember typography, clean information density, Leaflet interactive mapping, and real-time WebSocket/polling state synchronization.</w:t>
      </w:r>
    </w:p>
    <w:p>
      <w:r>
        <w:rPr>
          <w:b/>
        </w:rPr>
        <w:t>•  Test Suite &amp; Quality Verification:</w:t>
      </w:r>
    </w:p>
    <w:p>
      <w:r>
        <w:t>The backend is guarded by an exhaustive test suite comprising 124 automated unit and integration tests across 21 test suites. Testing validates every algorithm under nominal and degraded stress conditions: test_adversarial.py, test_and_or_search.py, test_belief_search.py, test_csp.py, test_game_theory.py, test_logic_reasoning.py, test_propositional_dpll.py, and test_workflow.py.</w:t>
      </w:r>
    </w:p>
    <w:p>
      <w:pPr>
        <w:keepNext/>
        <w:spacing w:before="400" w:after="160"/>
      </w:pPr>
      <w:r>
        <w:rPr>
          <w:rFonts w:ascii="Calibri" w:hAnsi="Calibri"/>
          <w:b/>
          <w:color w:val="0F1E36"/>
          <w:sz w:val="36"/>
        </w:rPr>
        <w:t>9. Operational User Interface Walkthrough</w:t>
      </w:r>
    </w:p>
    <w:p>
      <w:r>
        <w:t>The frontend dashboard is organized into 10 purpose-built operational workspaces:</w:t>
      </w:r>
    </w:p>
    <w:p>
      <w:pPr>
        <w:spacing w:after="80"/>
      </w:pPr>
      <w:r>
        <w:rPr>
          <w:b/>
        </w:rPr>
        <w:t xml:space="preserve">•  1. Dashboard Overview: </w:t>
      </w:r>
      <w:r>
        <w:t>Executive summary of fleet State of Charge, charging station occupancy, live grid transformer load curves, and quick action controls.</w:t>
      </w:r>
    </w:p>
    <w:p>
      <w:pPr>
        <w:spacing w:after="80"/>
      </w:pPr>
      <w:r>
        <w:rPr>
          <w:b/>
        </w:rPr>
        <w:t xml:space="preserve">•  2. EV Request Management: </w:t>
      </w:r>
      <w:r>
        <w:t>Interactive form allowing operators to formulate new vehicle charging requests, configure battery parameters, and select test fleet presets.</w:t>
      </w:r>
    </w:p>
    <w:p>
      <w:pPr>
        <w:spacing w:after="80"/>
      </w:pPr>
      <w:r>
        <w:rPr>
          <w:b/>
        </w:rPr>
        <w:t xml:space="preserve">•  3. Station Discovery: </w:t>
      </w:r>
      <w:r>
        <w:t>Geographic map and catalogue of the 72 charging stations displaying live connector availability, power ratings, tariffs, and network operator filters.</w:t>
      </w:r>
    </w:p>
    <w:p>
      <w:pPr>
        <w:spacing w:after="80"/>
      </w:pPr>
      <w:r>
        <w:rPr>
          <w:b/>
        </w:rPr>
        <w:t xml:space="preserve">•  4. Algorithm Benchmarks: </w:t>
      </w:r>
      <w:r>
        <w:t>Live execution panel comparing path cost, search depth, nodes expanded, and execution time across BFS, DFS, UCS, Greedy BFS, and A*.</w:t>
      </w:r>
    </w:p>
    <w:p>
      <w:pPr>
        <w:spacing w:after="80"/>
      </w:pPr>
      <w:r>
        <w:rPr>
          <w:b/>
        </w:rPr>
        <w:t xml:space="preserve">•  5. Slot Scheduling (CSP): </w:t>
      </w:r>
      <w:r>
        <w:t>Visual Gantt schedule matrix rendering charger bay assignments across 15-minute time slots, showing constraint satisfaction and active power allocations.</w:t>
      </w:r>
    </w:p>
    <w:p>
      <w:pPr>
        <w:spacing w:after="80"/>
      </w:pPr>
      <w:r>
        <w:rPr>
          <w:b/>
        </w:rPr>
        <w:t xml:space="preserve">•  6. Knowledge &amp; Logic Rules: </w:t>
      </w:r>
      <w:r>
        <w:t>Rule verification workbench displaying asserted vehicle facts, forward-chaining deduction passes, and DPLL propositional resolution proofs.</w:t>
      </w:r>
    </w:p>
    <w:p>
      <w:pPr>
        <w:spacing w:after="80"/>
      </w:pPr>
      <w:r>
        <w:rPr>
          <w:b/>
        </w:rPr>
        <w:t xml:space="preserve">•  7. Multi-Agent System: </w:t>
      </w:r>
      <w:r>
        <w:t>Live multi-agent monitoring room detailing active vehicle, station, and grid agents alongside real-time FIPA-ACL message exchanges.</w:t>
      </w:r>
    </w:p>
    <w:p>
      <w:pPr>
        <w:spacing w:after="80"/>
      </w:pPr>
      <w:r>
        <w:rPr>
          <w:b/>
        </w:rPr>
        <w:t xml:space="preserve">•  8. Conflict Arbitration: </w:t>
      </w:r>
      <w:r>
        <w:t>Interactive game theory simulator resolving dual-vehicle slot contentions via cooperative Nash bargaining curves and Minimax adversarial pruning.</w:t>
      </w:r>
    </w:p>
    <w:p>
      <w:pPr>
        <w:spacing w:after="80"/>
      </w:pPr>
      <w:r>
        <w:rPr>
          <w:b/>
        </w:rPr>
        <w:t xml:space="preserve">•  9. Decision Trace Audit: </w:t>
      </w:r>
      <w:r>
        <w:t>End-to-end transparent explanation trace for any vehicle request, articulating exact mathematical reasons WHY an assignment was made and why alternatives were rejected.</w:t>
      </w:r>
    </w:p>
    <w:p>
      <w:pPr>
        <w:spacing w:after="80"/>
      </w:pPr>
      <w:r>
        <w:rPr>
          <w:b/>
        </w:rPr>
        <w:t xml:space="preserve">•  10. System Evaluation: </w:t>
      </w:r>
      <w:r>
        <w:t>Monte Carlo policy benchmarking engine running seeded simulation comparisons between the proposed AI strategy and baseline policies.</w:t>
      </w:r>
    </w:p>
    <w:p>
      <w:pPr>
        <w:keepNext/>
        <w:spacing w:before="400" w:after="160"/>
      </w:pPr>
      <w:r>
        <w:rPr>
          <w:rFonts w:ascii="Calibri" w:hAnsi="Calibri"/>
          <w:b/>
          <w:color w:val="0F1E36"/>
          <w:sz w:val="36"/>
        </w:rPr>
        <w:t>10. Conclusion, Limitations &amp; Future Roadmap</w:t>
      </w:r>
    </w:p>
    <w:p>
      <w:r>
        <w:t>The Intelligent EV Charging &amp; Resource Management System proves that classical, symbolic artificial intelligence provides an extraordinarily capable, deterministic, and explainable foundation for mission-critical urban infrastructure. By synthesizing informed heuristic search, constraint satisfaction programming, first-order logic, and multi-agent game theory, the platform eliminates charging congestion, guarantees transformer safety, and maximizes clean energy utilization without black-box opacity.</w:t>
      </w:r>
    </w:p>
    <w:p>
      <w:pPr>
        <w:keepNext/>
        <w:spacing w:before="280" w:after="120"/>
      </w:pPr>
      <w:r>
        <w:rPr>
          <w:rFonts w:ascii="Calibri" w:hAnsi="Calibri"/>
          <w:b/>
          <w:color w:val="0972D3"/>
          <w:sz w:val="28"/>
        </w:rPr>
        <w:t>10.1 Future Roadmap</w:t>
      </w:r>
    </w:p>
    <w:p>
      <w:r>
        <w:t>•  Vehicle-to-Grid (V2G) Bi-Directional Discharging: Expanding the CSP solver to schedule bi-directional energy flows where parked EVs feed power back into the microgrid during extreme peak tariff windows.</w:t>
      </w:r>
    </w:p>
    <w:p>
      <w:r>
        <w:t>•  Multi-Substation High-Voltage Mesh Grids: Extending the grid agent to model distributed power flow and voltage stability across multi-bus urban power networks.</w:t>
      </w:r>
    </w:p>
    <w:p>
      <w:r>
        <w:t>•  Dynamic Weather &amp; Cloud Cover Prediction: Incorporating physical solar forecasting models to anticipate solar photovoltaic irradiance drops 30 minutes in advance.</w:t>
      </w:r>
    </w:p>
    <w:p>
      <w:pPr>
        <w:spacing w:after="400"/>
      </w:pPr>
    </w:p>
    <w:p>
      <w:pPr>
        <w:jc w:val="center"/>
      </w:pPr>
      <w:r>
        <w:rPr>
          <w:b/>
          <w:color w:val="545B64"/>
          <w:sz w:val="22"/>
        </w:rPr>
        <w:t>■ END OF TECHNICAL REPORT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619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