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· Spatial Analytics — 5 Maps</w:t>
      </w:r>
    </w:p>
    <w:p>
      <w:r>
        <w:rPr>
          <w:b/>
        </w:rPr>
        <w:t>Quan Duong · AFCN · April 2026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Five maps that together tell the story of Atlanta's food environment from individual indicator layers (M1, M2, M3) → core operation (M5 surplus rescue) → integrated risk synthesis (</w:t>
      </w:r>
      <w:r>
        <w:rPr>
          <w:b/>
        </w:rPr>
        <w:t>M8 composite vulnerability</w:t>
      </w:r>
      <w:r>
        <w:t xml:space="preserve">). Each map uses the </w:t>
      </w:r>
      <w:r>
        <w:rPr>
          <w:b/>
        </w:rPr>
        <w:t>same study area</w:t>
      </w:r>
      <w:r>
        <w:t xml:space="preserve"> (City of Atlanta + 5-county metro for context), the </w:t>
      </w:r>
      <w:r>
        <w:rPr>
          <w:b/>
        </w:rPr>
        <w:t>same projection</w:t>
      </w:r>
      <w:r>
        <w:t xml:space="preserve"> (NAD 1983 StatePlane Georgia West, EPSG: 2240), and a </w:t>
      </w:r>
      <w:r>
        <w:rPr>
          <w:b/>
        </w:rPr>
        <w:t>consistent editorial palette</w:t>
      </w:r>
      <w:r>
        <w:t xml:space="preserve"> (Farbton 1929 standardfarbtonkarte — blue-grey family) so they read as a series.</w:t>
      </w:r>
    </w:p>
    <w:p>
      <w:r>
        <w:t xml:space="preserve">These 5 maps cover </w:t>
      </w:r>
      <w:r>
        <w:rPr>
          <w:b/>
        </w:rPr>
        <w:t>5 of the 8 framework maps</w:t>
      </w:r>
      <w:r>
        <w:t xml:space="preserve"> described in </w:t>
      </w:r>
      <w:r>
        <w:rPr>
          <w:rFonts w:ascii="Consolas" w:hAnsi="Consolas"/>
          <w:sz w:val="20"/>
          <w:shd w:val="clear" w:color="auto" w:fill="F0F0F0"/>
        </w:rPr>
        <w:t>Food_System_Framework_Analysis.md</w:t>
      </w:r>
      <w:r>
        <w:t>. The remaining (M4 Food Assistance Demand stand-alone, M6 Socioeconomic stand-alone, M7 Health Outcomes stand-alone) are inputs that get absorbed into Map 4 (M8 composite).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Map title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M1</w:t>
            </w:r>
          </w:p>
        </w:tc>
        <w:tc>
          <w:tcPr>
            <w:tcW w:type="dxa" w:w="1440"/>
          </w:tcPr>
          <w:p>
            <w:r>
              <w:t>Food Retail Density (mRFEI)</w:t>
            </w:r>
          </w:p>
        </w:tc>
        <w:tc>
          <w:tcPr>
            <w:tcW w:type="dxa" w:w="1440"/>
          </w:tcPr>
          <w:p>
            <w:r>
              <w:t>CDC mRFEI 2023 + USDA SNAP retailers</w:t>
            </w:r>
          </w:p>
        </w:tc>
        <w:tc>
          <w:tcPr>
            <w:tcW w:type="dxa" w:w="1440"/>
          </w:tcPr>
          <w:p>
            <w:r>
              <w:t>5-class quantile</w:t>
            </w:r>
          </w:p>
        </w:tc>
        <w:tc>
          <w:tcPr>
            <w:tcW w:type="dxa" w:w="1440"/>
          </w:tcPr>
          <w:p>
            <w:r>
              <w:t>Sequential (Nr. 55 → Nr. 50)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M2</w:t>
            </w:r>
          </w:p>
        </w:tc>
        <w:tc>
          <w:tcPr>
            <w:tcW w:type="dxa" w:w="1440"/>
          </w:tcPr>
          <w:p>
            <w:r>
              <w:t>Food Access Distance</w:t>
            </w:r>
          </w:p>
        </w:tc>
        <w:tc>
          <w:tcPr>
            <w:tcW w:type="dxa" w:w="1440"/>
          </w:tcPr>
          <w:p>
            <w:r>
              <w:t>OpenStreetMap network + USDA grocery layer</w:t>
            </w:r>
          </w:p>
        </w:tc>
        <w:tc>
          <w:tcPr>
            <w:tcW w:type="dxa" w:w="1440"/>
          </w:tcPr>
          <w:p>
            <w:r>
              <w:t>1 mi / 0.5 mi buffer + tract overlay</w:t>
            </w:r>
          </w:p>
        </w:tc>
        <w:tc>
          <w:tcPr>
            <w:tcW w:type="dxa" w:w="1440"/>
          </w:tcPr>
          <w:p>
            <w:r>
              <w:t>Diverging (gap zones in red)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M3</w:t>
            </w:r>
          </w:p>
        </w:tc>
        <w:tc>
          <w:tcPr>
            <w:tcW w:type="dxa" w:w="1440"/>
          </w:tcPr>
          <w:p>
            <w:r>
              <w:t>Transport Accessibility</w:t>
            </w:r>
          </w:p>
        </w:tc>
        <w:tc>
          <w:tcPr>
            <w:tcW w:type="dxa" w:w="1440"/>
          </w:tcPr>
          <w:p>
            <w:r>
              <w:t>MARTA GTFS + walkshed isochrone</w:t>
            </w:r>
          </w:p>
        </w:tc>
        <w:tc>
          <w:tcPr>
            <w:tcW w:type="dxa" w:w="1440"/>
          </w:tcPr>
          <w:p>
            <w:r>
              <w:t>5 / 10 / 15 min walk bands</w:t>
            </w:r>
          </w:p>
        </w:tc>
        <w:tc>
          <w:tcPr>
            <w:tcW w:type="dxa" w:w="1440"/>
          </w:tcPr>
          <w:p>
            <w:r>
              <w:t>Sequential blue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Composite Food System Vulnerability</w:t>
            </w:r>
          </w:p>
        </w:tc>
        <w:tc>
          <w:tcPr>
            <w:tcW w:type="dxa" w:w="1440"/>
          </w:tcPr>
          <w:p>
            <w:r>
              <w:t>7-indicator stack (ACS + CDC PLACES + pgRouting) — synthesizes M2/M3/M4/M6/M7</w:t>
            </w:r>
          </w:p>
        </w:tc>
        <w:tc>
          <w:tcPr>
            <w:tcW w:type="dxa" w:w="1440"/>
          </w:tcPr>
          <w:p>
            <w:r>
              <w:t>5-quintile composite + tornado sensitivity</w:t>
            </w:r>
          </w:p>
        </w:tc>
        <w:tc>
          <w:tcPr>
            <w:tcW w:type="dxa" w:w="1440"/>
          </w:tcPr>
          <w:p>
            <w:r>
              <w:t>Sequential blue + bivariate inset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M5</w:t>
            </w:r>
          </w:p>
        </w:tc>
        <w:tc>
          <w:tcPr>
            <w:tcW w:type="dxa" w:w="1440"/>
          </w:tcPr>
          <w:p>
            <w:r>
              <w:t>Campus-to-Community Surplus Flow</w:t>
            </w:r>
          </w:p>
        </w:tc>
        <w:tc>
          <w:tcPr>
            <w:tcW w:type="dxa" w:w="1440"/>
          </w:tcPr>
          <w:p>
            <w:r>
              <w:t>LeanPath GT data + 30 grouped surplus pins + rescue OD pairs</w:t>
            </w:r>
          </w:p>
        </w:tc>
        <w:tc>
          <w:tcPr>
            <w:tcW w:type="dxa" w:w="1440"/>
          </w:tcPr>
          <w:p>
            <w:r>
              <w:t>Flow lines + urgency-weighted pin sizes</w:t>
            </w:r>
          </w:p>
        </w:tc>
        <w:tc>
          <w:tcPr>
            <w:tcW w:type="dxa" w:w="1440"/>
          </w:tcPr>
          <w:p>
            <w:r>
              <w:t>Flow (directional)</w:t>
            </w:r>
          </w:p>
        </w:tc>
      </w:tr>
    </w:tbl>
    <w:p/>
    <w:p>
      <w:r>
        <w:rPr>
          <w:b/>
        </w:rPr>
        <w:t>Why this cut?</w:t>
      </w:r>
    </w:p>
    <w:p>
      <w:pPr>
        <w:pStyle w:val="ListBullet"/>
      </w:pPr>
      <w:r>
        <w:t xml:space="preserve">M1, M2, M3 are </w:t>
      </w:r>
      <w:r>
        <w:rPr>
          <w:i/>
        </w:rPr>
        <w:t>foundational layers</w:t>
      </w:r>
      <w:r>
        <w:t xml:space="preserve"> — the basemap that any food-system claim relies on</w:t>
      </w:r>
    </w:p>
    <w:p>
      <w:pPr>
        <w:pStyle w:val="ListBullet"/>
      </w:pPr>
      <w:r>
        <w:rPr>
          <w:b/>
        </w:rPr>
        <w:t>M5 (surplus recovery) is Quan's core project strength</w:t>
      </w:r>
      <w:r>
        <w:t xml:space="preserve"> — the AFCN dashboard was built around this</w:t>
      </w:r>
    </w:p>
    <w:p>
      <w:pPr>
        <w:pStyle w:val="ListBullet"/>
      </w:pPr>
      <w:r>
        <w:rPr>
          <w:b/>
        </w:rPr>
        <w:t>M8 (composite vulnerability) is the Phase 2 capstone</w:t>
      </w:r>
      <w:r>
        <w:t xml:space="preserve"> — the synthesis the framework analysis flagged as "not implemented" until now</w:t>
      </w:r>
    </w:p>
    <w:p>
      <w:pPr>
        <w:pStyle w:val="ListBullet"/>
      </w:pPr>
      <w:r>
        <w:t xml:space="preserve">The bivariate (obesity × LILA) technique that Map 4 previously highlighted is now an </w:t>
      </w:r>
      <w:r>
        <w:rPr>
          <w:i/>
        </w:rPr>
        <w:t>inset on M8</w:t>
      </w:r>
      <w:r>
        <w:t>, kept as a methodological stepping-stone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Per-map deliverable structure</w:t>
      </w:r>
    </w:p>
    <w:p>
      <w:r>
        <w:t xml:space="preserve">For each of the 5 maps, the </w:t>
      </w:r>
      <w:r>
        <w:rPr>
          <w:rFonts w:ascii="Consolas" w:hAnsi="Consolas"/>
          <w:sz w:val="20"/>
          <w:shd w:val="clear" w:color="auto" w:fill="F0F0F0"/>
        </w:rPr>
        <w:t>maps/</w:t>
      </w:r>
      <w:r>
        <w:t xml:space="preserve"> folder contains:</w:t>
      </w:r>
    </w:p>
    <w:p>
      <w:pPr>
        <w:shd w:val="clear" w:color="auto" w:fill="F4F4F4"/>
      </w:pPr>
      <w:r>
        <w:rPr>
          <w:rFonts w:ascii="Consolas" w:hAnsi="Consolas"/>
          <w:color w:val="393F44"/>
          <w:sz w:val="18"/>
        </w:rPr>
        <w:t>maps/</w:t>
        <w:br/>
        <w:t>├── Map_1_Food_Retail_Density/             ← M1</w:t>
        <w:br/>
        <w:t>├── Map_2_Food_Access_Distance/            ← M2</w:t>
        <w:br/>
        <w:t>├── Map_3_Transport_Accessibility/         ← M3</w:t>
        <w:br/>
        <w:t>├── Map_4_Food_System_Vulnerability_M8/    ← M8 composite (CAPSTONE)</w:t>
        <w:br/>
        <w:t>└── Map_5_Surplus_Flow/                    ← M5 (CORE)</w:t>
        <w:br/>
        <w:br/>
        <w:t>Each contains:</w:t>
        <w:br/>
        <w:t>├── *.aprx                                  ← ArcGIS Pro project file (original)</w:t>
        <w:br/>
        <w:t>├── *.qgz                                   ← QGIS project (cross-platform alt)</w:t>
        <w:br/>
        <w:t>├── data_sources.md                         ← Provenance + dates + license</w:t>
        <w:br/>
        <w:t>└── legend_spec.md                          ← Classification breaks + colors</w:t>
      </w:r>
    </w:p>
    <w:p>
      <w:r>
        <w:t>Rendered outputs:</w:t>
      </w:r>
    </w:p>
    <w:p>
      <w:pPr>
        <w:shd w:val="clear" w:color="auto" w:fill="F4F4F4"/>
      </w:pPr>
      <w:r>
        <w:rPr>
          <w:rFonts w:ascii="Consolas" w:hAnsi="Consolas"/>
          <w:color w:val="393F44"/>
          <w:sz w:val="18"/>
        </w:rPr>
        <w:t>jpgs/</w:t>
        <w:br/>
        <w:t>├── Map_1_Food_Retail_Density.jpg              ← 300 dpi, 11×17 letter</w:t>
        <w:br/>
        <w:t>├── Map_2_Food_Access_Distance.jpg</w:t>
        <w:br/>
        <w:t>├── Map_3_Transport_Accessibility.jpg</w:t>
        <w:br/>
        <w:t>├── Map_4_Food_System_Vulnerability_M8.jpg</w:t>
        <w:br/>
        <w:t>└── Map_5_Surplus_Flow.jpg</w:t>
        <w:br/>
        <w:br/>
        <w:t>legends/</w:t>
        <w:br/>
        <w:t>├── Map_1_legend.png                            ← Standalone legend strip</w:t>
        <w:br/>
        <w:t>├── Map_2_legend.png</w:t>
        <w:br/>
        <w:t>└── … (legends 3–5)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regenerate the JPGs</w:t>
      </w:r>
    </w:p>
    <w:p>
      <w:r>
        <w:t>Run from project root:</w:t>
      </w:r>
    </w:p>
    <w:p>
      <w:pPr>
        <w:shd w:val="clear" w:color="auto" w:fill="F4F4F4"/>
      </w:pPr>
      <w:r>
        <w:rPr>
          <w:rFonts w:ascii="Consolas" w:hAnsi="Consolas"/>
          <w:color w:val="393F44"/>
          <w:sz w:val="18"/>
        </w:rPr>
        <w:t>python submission/1_Spatial_Analytics/export_maps.py</w:t>
      </w:r>
    </w:p>
    <w:p>
      <w:r>
        <w:t xml:space="preserve">The script reads </w:t>
      </w:r>
      <w:r>
        <w:rPr>
          <w:rFonts w:ascii="Consolas" w:hAnsi="Consolas"/>
          <w:sz w:val="20"/>
          <w:shd w:val="clear" w:color="auto" w:fill="F0F0F0"/>
        </w:rPr>
        <w:t>geojson/</w:t>
      </w:r>
      <w:r>
        <w:t xml:space="preserve"> source layers, applies the renderer specs in </w:t>
      </w:r>
      <w:r>
        <w:rPr>
          <w:rFonts w:ascii="Consolas" w:hAnsi="Consolas"/>
          <w:sz w:val="20"/>
          <w:shd w:val="clear" w:color="auto" w:fill="F0F0F0"/>
        </w:rPr>
        <w:t>legend_spec.md</w:t>
      </w:r>
      <w:r>
        <w:t xml:space="preserve">, and renders each map at 300 dpi. Outputs land in </w:t>
      </w:r>
      <w:r>
        <w:rPr>
          <w:rFonts w:ascii="Consolas" w:hAnsi="Consolas"/>
          <w:sz w:val="20"/>
          <w:shd w:val="clear" w:color="auto" w:fill="F0F0F0"/>
        </w:rPr>
        <w:t>jpgs/</w:t>
      </w:r>
      <w:r>
        <w:t xml:space="preserve"> and </w:t>
      </w:r>
      <w:r>
        <w:rPr>
          <w:rFonts w:ascii="Consolas" w:hAnsi="Consolas"/>
          <w:sz w:val="20"/>
          <w:shd w:val="clear" w:color="auto" w:fill="F0F0F0"/>
        </w:rPr>
        <w:t>legends/</w:t>
      </w:r>
      <w:r>
        <w:t>.</w:t>
      </w:r>
    </w:p>
    <w:p>
      <w:r>
        <w:t xml:space="preserve">For the .aprx originals, open </w:t>
      </w:r>
      <w:r>
        <w:rPr>
          <w:rFonts w:ascii="Consolas" w:hAnsi="Consolas"/>
          <w:sz w:val="20"/>
          <w:shd w:val="clear" w:color="auto" w:fill="F0F0F0"/>
        </w:rPr>
        <w:t>exports/AFCN_Atlanta.aprx</w:t>
      </w:r>
      <w:r>
        <w:t xml:space="preserve"> in ArcGIS Pro — each of the 5 maps exists as a separate layout. Use </w:t>
      </w:r>
      <w:r>
        <w:rPr>
          <w:b/>
        </w:rPr>
        <w:t>Share → Export Layout → PNG/JPG</w:t>
      </w:r>
      <w:r>
        <w:t xml:space="preserve"> at 300 dpi.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Cartographic standards applied</w:t>
      </w:r>
    </w:p>
    <w:p>
      <w:pPr>
        <w:pStyle w:val="ListBullet"/>
      </w:pPr>
      <w:r>
        <w:rPr>
          <w:b/>
        </w:rPr>
        <w:t>Projection:</w:t>
      </w:r>
      <w:r>
        <w:t xml:space="preserve"> EPSG:2240 (NAD 1983 StatePlane Georgia West, US Feet) — preserves shape for Atlanta-scale comparisons</w:t>
      </w:r>
    </w:p>
    <w:p>
      <w:pPr>
        <w:pStyle w:val="ListBullet"/>
      </w:pPr>
      <w:r>
        <w:rPr>
          <w:b/>
        </w:rPr>
        <w:t>Color palette:</w:t>
      </w:r>
      <w:r>
        <w:t xml:space="preserve"> Farbton 1929 standardfarbtonkarte — Nr. 51 spinellblau primary, Nr. 57 lichtblau secondary</w:t>
      </w:r>
    </w:p>
    <w:p>
      <w:pPr>
        <w:pStyle w:val="ListBullet"/>
      </w:pPr>
      <w:r>
        <w:rPr>
          <w:b/>
        </w:rPr>
        <w:t>Sequential ramps:</w:t>
      </w:r>
      <w:r>
        <w:t xml:space="preserve"> Nr. 55 → Nr. 54 → Nr. 57 → Nr. 51 → Nr. 50 (light to dark)</w:t>
      </w:r>
    </w:p>
    <w:p>
      <w:pPr>
        <w:pStyle w:val="ListBullet"/>
      </w:pPr>
      <w:r>
        <w:rPr>
          <w:b/>
        </w:rPr>
        <w:t>Composite ramp (Map 4 / M8):</w:t>
      </w:r>
      <w:r>
        <w:t xml:space="preserve"> 5-quintile sequential Nr. 55 → Nr. 50, with a Stevens 2015 bivariate (3×3) </w:t>
      </w:r>
      <w:r>
        <w:rPr>
          <w:b/>
        </w:rPr>
        <w:t>inset</w:t>
      </w:r>
      <w:r>
        <w:t xml:space="preserve"> illustrating the methodology's first step</w:t>
      </w:r>
    </w:p>
    <w:p>
      <w:pPr>
        <w:pStyle w:val="ListBullet"/>
      </w:pPr>
      <w:r>
        <w:rPr>
          <w:b/>
        </w:rPr>
        <w:t>Type:</w:t>
      </w:r>
      <w:r>
        <w:t xml:space="preserve"> Inter (sans, labels) + Source Serif 4 (titles)</w:t>
      </w:r>
    </w:p>
    <w:p>
      <w:pPr>
        <w:pStyle w:val="ListBullet"/>
      </w:pPr>
      <w:r>
        <w:rPr>
          <w:b/>
        </w:rPr>
        <w:t>Scale bar:</w:t>
      </w:r>
      <w:r>
        <w:t xml:space="preserve"> miles primary, km secondary</w:t>
      </w:r>
    </w:p>
    <w:p>
      <w:pPr>
        <w:pStyle w:val="ListBullet"/>
      </w:pPr>
      <w:r>
        <w:rPr>
          <w:b/>
        </w:rPr>
        <w:t>North arrow:</w:t>
      </w:r>
      <w:r>
        <w:t xml:space="preserve"> simple chevron, lower-right</w:t>
      </w:r>
    </w:p>
    <w:p>
      <w:pPr>
        <w:pStyle w:val="ListBullet"/>
      </w:pPr>
      <w:r>
        <w:rPr>
          <w:b/>
        </w:rPr>
        <w:t>Inset:</w:t>
      </w:r>
      <w:r>
        <w:t xml:space="preserve"> 5-county metro context, top-right corner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Notes on data lineage</w:t>
      </w:r>
    </w:p>
    <w:p>
      <w:r>
        <w:t xml:space="preserve">See </w:t>
      </w:r>
      <w:r>
        <w:rPr>
          <w:rFonts w:ascii="Consolas" w:hAnsi="Consolas"/>
          <w:sz w:val="20"/>
          <w:shd w:val="clear" w:color="auto" w:fill="F0F0F0"/>
        </w:rPr>
        <w:t>2_Critical_Cartography/critical_review.md</w:t>
      </w:r>
      <w:r>
        <w:t xml:space="preserve"> for a critical discussion of:</w:t>
      </w:r>
    </w:p>
    <w:p>
      <w:pPr>
        <w:pStyle w:val="ListBullet"/>
      </w:pPr>
      <w:r>
        <w:t>Why mRFEI was chosen over the simpler USDA Food Access Research Atlas</w:t>
      </w:r>
    </w:p>
    <w:p>
      <w:pPr>
        <w:pStyle w:val="ListBullet"/>
      </w:pPr>
      <w:r>
        <w:t>Limitations of network-distance buffers (no transit time, no real-world barriers)</w:t>
      </w:r>
    </w:p>
    <w:p>
      <w:pPr>
        <w:pStyle w:val="ListBullet"/>
      </w:pPr>
      <w:r>
        <w:t>How the bivariate classification quietly conceals tract-level outliers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