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Map 2 — Food Access Distance</w:t>
      </w:r>
    </w:p>
    <w:p>
      <w:pPr>
        <w:pStyle w:val="Heading2"/>
      </w:pPr>
      <w:r>
        <w:t>Sources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License</w:t>
            </w:r>
          </w:p>
        </w:tc>
      </w:tr>
      <w:tr>
        <w:tc>
          <w:tcPr>
            <w:tcW w:type="dxa" w:w="1728"/>
          </w:tcPr>
          <w:p>
            <w:r>
              <w:t>Grocery (Tier 1+2)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geojson/atl_grocery_stores_classified.geojson</w:t>
            </w:r>
          </w:p>
        </w:tc>
        <w:tc>
          <w:tcPr>
            <w:tcW w:type="dxa" w:w="1728"/>
          </w:tcPr>
          <w:p>
            <w:r>
              <w:t>Workshop classification</w:t>
            </w:r>
          </w:p>
        </w:tc>
        <w:tc>
          <w:tcPr>
            <w:tcW w:type="dxa" w:w="1728"/>
          </w:tcPr>
          <w:p>
            <w:r>
              <w:t>April 2026</w:t>
            </w:r>
          </w:p>
        </w:tc>
        <w:tc>
          <w:tcPr>
            <w:tcW w:type="dxa" w:w="1728"/>
          </w:tcPr>
          <w:p>
            <w:r>
              <w:t>I2CE Lab</w:t>
            </w:r>
          </w:p>
        </w:tc>
      </w:tr>
      <w:tr>
        <w:tc>
          <w:tcPr>
            <w:tcW w:type="dxa" w:w="1728"/>
          </w:tcPr>
          <w:p>
            <w:r>
              <w:t>Healthy food 1mi coverage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geojson/healthy_food_1mile_coverage.geojson</w:t>
            </w:r>
          </w:p>
        </w:tc>
        <w:tc>
          <w:tcPr>
            <w:tcW w:type="dxa" w:w="1728"/>
          </w:tcPr>
          <w:p>
            <w:r>
              <w:t>Computed network buffer (pgRouting)</w:t>
            </w:r>
          </w:p>
        </w:tc>
        <w:tc>
          <w:tcPr>
            <w:tcW w:type="dxa" w:w="1728"/>
          </w:tcPr>
          <w:p>
            <w:r>
              <w:t>March 2026</w:t>
            </w:r>
          </w:p>
        </w:tc>
        <w:tc>
          <w:tcPr>
            <w:tcW w:type="dxa" w:w="1728"/>
          </w:tcPr>
          <w:p>
            <w:r>
              <w:t>Derived</w:t>
            </w:r>
          </w:p>
        </w:tc>
      </w:tr>
      <w:tr>
        <w:tc>
          <w:tcPr>
            <w:tcW w:type="dxa" w:w="1728"/>
          </w:tcPr>
          <w:p>
            <w:r>
              <w:t>Grocery access distance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geojson/grocery_access_distance.geojson</w:t>
            </w:r>
          </w:p>
        </w:tc>
        <w:tc>
          <w:tcPr>
            <w:tcW w:type="dxa" w:w="1728"/>
          </w:tcPr>
          <w:p>
            <w:r>
              <w:t>Per-tract nearest-grocery distance</w:t>
            </w:r>
          </w:p>
        </w:tc>
        <w:tc>
          <w:tcPr>
            <w:tcW w:type="dxa" w:w="1728"/>
          </w:tcPr>
          <w:p>
            <w:r>
              <w:t>March 2026</w:t>
            </w:r>
          </w:p>
        </w:tc>
        <w:tc>
          <w:tcPr>
            <w:tcW w:type="dxa" w:w="1728"/>
          </w:tcPr>
          <w:p>
            <w:r>
              <w:t>Derived</w:t>
            </w:r>
          </w:p>
        </w:tc>
      </w:tr>
      <w:tr>
        <w:tc>
          <w:tcPr>
            <w:tcW w:type="dxa" w:w="1728"/>
          </w:tcPr>
          <w:p>
            <w:r>
              <w:t>USDA Food Deserts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geojson/food_deserts_atlanta.geojson</w:t>
            </w:r>
          </w:p>
        </w:tc>
        <w:tc>
          <w:tcPr>
            <w:tcW w:type="dxa" w:w="1728"/>
          </w:tcPr>
          <w:p>
            <w:r>
              <w:t>USDA Food Access Research Atlas 2019</w:t>
            </w:r>
          </w:p>
        </w:tc>
        <w:tc>
          <w:tcPr>
            <w:tcW w:type="dxa" w:w="1728"/>
          </w:tcPr>
          <w:p>
            <w:r>
              <w:t>2019</w:t>
            </w:r>
          </w:p>
        </w:tc>
        <w:tc>
          <w:tcPr>
            <w:tcW w:type="dxa" w:w="1728"/>
          </w:tcPr>
          <w:p>
            <w:r>
              <w:t>Public</w:t>
            </w:r>
          </w:p>
        </w:tc>
      </w:tr>
      <w:tr>
        <w:tc>
          <w:tcPr>
            <w:tcW w:type="dxa" w:w="1728"/>
          </w:tcPr>
          <w:p>
            <w:r>
              <w:t>Tract boundaries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geojson/census_tracts_tiger.geojson</w:t>
            </w:r>
          </w:p>
        </w:tc>
        <w:tc>
          <w:tcPr>
            <w:tcW w:type="dxa" w:w="1728"/>
          </w:tcPr>
          <w:p>
            <w:r>
              <w:t>US Census TIGER/Line</w:t>
            </w:r>
          </w:p>
        </w:tc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Public</w:t>
            </w:r>
          </w:p>
        </w:tc>
      </w:tr>
    </w:tbl>
    <w:p/>
    <w:p>
      <w:pPr>
        <w:pStyle w:val="Heading2"/>
      </w:pPr>
      <w:r>
        <w:t>Methodology</w:t>
      </w:r>
    </w:p>
    <w:p>
      <w:pPr>
        <w:pStyle w:val="ListBullet"/>
      </w:pPr>
      <w:r>
        <w:t>Network distance from tract centroid to nearest healthy-food retailer (Tier 1 supermarket or Tier 2 grocery)</w:t>
      </w:r>
    </w:p>
    <w:p>
      <w:pPr>
        <w:pStyle w:val="ListBullet"/>
      </w:pPr>
      <w:r>
        <w:t>1.0 mile and 0.5 mile threshold buffers (USDA LILA convention)</w:t>
      </w:r>
    </w:p>
    <w:p>
      <w:pPr>
        <w:pStyle w:val="ListBullet"/>
      </w:pPr>
      <w:r>
        <w:t>USDA Food Desert overlay shown as comparative reference (low income + low access tracts)</w:t>
      </w:r>
    </w:p>
    <w:p>
      <w:pPr>
        <w:pStyle w:val="Heading2"/>
      </w:pPr>
      <w:r>
        <w:t>Caveats</w:t>
      </w:r>
    </w:p>
    <w:p>
      <w:pPr>
        <w:pStyle w:val="ListBullet"/>
      </w:pPr>
      <w:r>
        <w:t>Network distance ≠ travel time (no transit, no traffic, no barriers like highways)</w:t>
      </w:r>
    </w:p>
    <w:p>
      <w:pPr>
        <w:pStyle w:val="ListBullet"/>
      </w:pPr>
      <w:r>
        <w:t>Tract centroid assumption flattens within-tract variation</w:t>
      </w:r>
    </w:p>
    <w:p>
      <w:pPr>
        <w:pStyle w:val="ListBullet"/>
      </w:pPr>
      <w:r>
        <w:t>USDA 2019 vintage is stale; commercial closures since (e.g. Save-A-Lot West End) not reflected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93F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93F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93F4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93F4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