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5 — Campus-to-Community Surplus Flow</w:t>
      </w:r>
    </w:p>
    <w:p>
      <w:pPr>
        <w:pStyle w:val="Heading2"/>
      </w:pPr>
      <w: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1728"/>
          </w:tcPr>
          <w:p>
            <w:r>
              <w:t>GT campus dining surplus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data/leanpath_surplus.js</w:t>
            </w:r>
            <w:r>
              <w:t xml:space="preserve"> (from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Waste-Data.csv</w:t>
            </w:r>
            <w:r>
              <w:t>)</w:t>
            </w:r>
          </w:p>
        </w:tc>
        <w:tc>
          <w:tcPr>
            <w:tcW w:type="dxa" w:w="1728"/>
          </w:tcPr>
          <w:p>
            <w:r>
              <w:t>LeanPath audit, GT Campus</w:t>
            </w:r>
          </w:p>
        </w:tc>
        <w:tc>
          <w:tcPr>
            <w:tcW w:type="dxa" w:w="1728"/>
          </w:tcPr>
          <w:p>
            <w:r>
              <w:t>Mar 4–10, 2026</w:t>
            </w:r>
          </w:p>
        </w:tc>
        <w:tc>
          <w:tcPr>
            <w:tcW w:type="dxa" w:w="1728"/>
          </w:tcPr>
          <w:p>
            <w:r>
              <w:t>I2CE Lab (used with permission)</w:t>
            </w:r>
          </w:p>
        </w:tc>
      </w:tr>
      <w:tr>
        <w:tc>
          <w:tcPr>
            <w:tcW w:type="dxa" w:w="1728"/>
          </w:tcPr>
          <w:p>
            <w:r>
              <w:t>Campus dining locations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geojson/campus_dining.geojson</w:t>
            </w:r>
          </w:p>
        </w:tc>
        <w:tc>
          <w:tcPr>
            <w:tcW w:type="dxa" w:w="1728"/>
          </w:tcPr>
          <w:p>
            <w:r>
              <w:t>GT Dining Services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GT</w:t>
            </w:r>
          </w:p>
        </w:tc>
      </w:tr>
      <w:tr>
        <w:tc>
          <w:tcPr>
            <w:tcW w:type="dxa" w:w="1728"/>
          </w:tcPr>
          <w:p>
            <w:r>
              <w:t>Redistribution nodes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geojson/redistribution_nodes.geojson</w:t>
            </w:r>
          </w:p>
        </w:tc>
        <w:tc>
          <w:tcPr>
            <w:tcW w:type="dxa" w:w="1728"/>
          </w:tcPr>
          <w:p>
            <w:r>
              <w:t>Curated from ACFB + faith network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I2CE Lab</w:t>
            </w:r>
          </w:p>
        </w:tc>
      </w:tr>
      <w:tr>
        <w:tc>
          <w:tcPr>
            <w:tcW w:type="dxa" w:w="1728"/>
          </w:tcPr>
          <w:p>
            <w:r>
              <w:t>Beneficiary access points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geojson/beneficiary_access_points.geojson</w:t>
            </w:r>
          </w:p>
        </w:tc>
        <w:tc>
          <w:tcPr>
            <w:tcW w:type="dxa" w:w="1728"/>
          </w:tcPr>
          <w:p>
            <w:r>
              <w:t>Workshop participants</w:t>
            </w:r>
          </w:p>
        </w:tc>
        <w:tc>
          <w:tcPr>
            <w:tcW w:type="dxa" w:w="1728"/>
          </w:tcPr>
          <w:p>
            <w:r>
              <w:t>April 2026</w:t>
            </w:r>
          </w:p>
        </w:tc>
        <w:tc>
          <w:tcPr>
            <w:tcW w:type="dxa" w:w="1728"/>
          </w:tcPr>
          <w:p>
            <w:r>
              <w:t>I2CE Lab</w:t>
            </w:r>
          </w:p>
        </w:tc>
      </w:tr>
      <w:tr>
        <w:tc>
          <w:tcPr>
            <w:tcW w:type="dxa" w:w="1728"/>
          </w:tcPr>
          <w:p>
            <w:r>
              <w:t>Compost sites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fulton_permitted_compost_sites (2).csv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geojson/compost_locations.geojson</w:t>
            </w:r>
          </w:p>
        </w:tc>
        <w:tc>
          <w:tcPr>
            <w:tcW w:type="dxa" w:w="1728"/>
          </w:tcPr>
          <w:p>
            <w:r>
              <w:t>Fulton County Permits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Network flows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geojson/network_flows.geojson</w:t>
            </w:r>
          </w:p>
        </w:tc>
        <w:tc>
          <w:tcPr>
            <w:tcW w:type="dxa" w:w="1728"/>
          </w:tcPr>
          <w:p>
            <w:r>
              <w:t>Origin-destination pairs (synthesized)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I2CE Lab</w:t>
            </w:r>
          </w:p>
        </w:tc>
      </w:tr>
    </w:tbl>
    <w:p/>
    <w:p>
      <w:pPr>
        <w:pStyle w:val="Heading2"/>
      </w:pPr>
      <w:r>
        <w:t>Methodology</w:t>
      </w:r>
    </w:p>
    <w:p>
      <w:pPr>
        <w:pStyle w:val="ListBullet"/>
      </w:pPr>
      <w:r>
        <w:t>30 grouped surplus pins (1,051 lbs total, 408 raw entries) from 6 GT dining locations</w:t>
      </w:r>
    </w:p>
    <w:p>
      <w:pPr>
        <w:pStyle w:val="ListBullet"/>
      </w:pPr>
      <w:r>
        <w:t>Urgency classification per item: Critical / Soon / Stable based on freshness curves</w:t>
      </w:r>
    </w:p>
    <w:p>
      <w:pPr>
        <w:pStyle w:val="ListBullet"/>
      </w:pPr>
      <w:r>
        <w:t>Flow lines drawn from origin (dining hall) to nearest matching redistribution node (capacity-aware)</w:t>
      </w:r>
    </w:p>
    <w:p>
      <w:pPr>
        <w:pStyle w:val="ListBullet"/>
      </w:pPr>
      <w:r>
        <w:t xml:space="preserve">Urgency-aware scoring: </w:t>
      </w:r>
      <w:r>
        <w:rPr>
          <w:rFonts w:ascii="Consolas" w:hAnsi="Consolas"/>
          <w:sz w:val="20"/>
          <w:shd w:val="clear" w:color="auto" w:fill="F0F0F0"/>
        </w:rPr>
        <w:t>priority = 0.50 × urgency_decay + 0.30 × volume_score + 0.20 × proximity_score</w:t>
      </w:r>
    </w:p>
    <w:p>
      <w:pPr>
        <w:pStyle w:val="ListBullet"/>
      </w:pPr>
      <w:r>
        <w:t>Transport hierarchy: Refrigerated Van (4) &gt; Dry Vehicle (3) &gt; Bike Courier (2) &gt; Walk-in (1)</w:t>
      </w:r>
    </w:p>
    <w:p>
      <w:pPr>
        <w:pStyle w:val="Heading2"/>
      </w:pPr>
      <w:r>
        <w:t>LeanPath summary (Mar 4–10,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entries</w:t>
            </w:r>
          </w:p>
        </w:tc>
        <w:tc>
          <w:tcPr>
            <w:tcW w:type="dxa" w:w="4320"/>
          </w:tcPr>
          <w:p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Total wasted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2,316 lbs</w:t>
            </w:r>
            <w:r>
              <w:t xml:space="preserve"> ($2,380)</w:t>
            </w:r>
          </w:p>
        </w:tc>
      </w:tr>
      <w:tr>
        <w:tc>
          <w:tcPr>
            <w:tcW w:type="dxa" w:w="4320"/>
          </w:tcPr>
          <w:p>
            <w:r>
              <w:t>Donated (rescue-ready)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 lbs (3.5%)</w:t>
            </w:r>
          </w:p>
        </w:tc>
      </w:tr>
      <w:tr>
        <w:tc>
          <w:tcPr>
            <w:tcW w:type="dxa" w:w="4320"/>
          </w:tcPr>
          <w:p>
            <w:r>
              <w:t>Composted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2,236 lbs (96.5%)</w:t>
            </w:r>
          </w:p>
        </w:tc>
      </w:tr>
      <w:tr>
        <w:tc>
          <w:tcPr>
            <w:tcW w:type="dxa" w:w="4320"/>
          </w:tcPr>
          <w:p>
            <w:r>
              <w:t>Preventable (overproduction)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1,392 lbs (60%)</w:t>
            </w:r>
          </w:p>
        </w:tc>
      </w:tr>
      <w:tr>
        <w:tc>
          <w:tcPr>
            <w:tcW w:type="dxa" w:w="4320"/>
          </w:tcPr>
          <w:p>
            <w:r>
              <w:t>Mapped to flow lines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1,051 lbs</w:t>
            </w:r>
            <w:r>
              <w:t xml:space="preserve"> in 30 grouped pins</w:t>
            </w:r>
          </w:p>
        </w:tc>
      </w:tr>
    </w:tbl>
    <w:p/>
    <w:p>
      <w:pPr>
        <w:pStyle w:val="Heading2"/>
      </w:pPr>
      <w:r>
        <w:t>Caveats</w:t>
      </w:r>
    </w:p>
    <w:p>
      <w:pPr>
        <w:pStyle w:val="ListBullet"/>
      </w:pPr>
      <w:r>
        <w:t>One-week snapshot; not representative of annual flows or semester variation</w:t>
      </w:r>
    </w:p>
    <w:p>
      <w:pPr>
        <w:pStyle w:val="ListBullet"/>
      </w:pPr>
      <w:r>
        <w:t>LeanPath data is self-reported by dining staff — under-reporting likely</w:t>
      </w:r>
    </w:p>
    <w:p>
      <w:pPr>
        <w:pStyle w:val="ListBullet"/>
      </w:pPr>
      <w:r>
        <w:t xml:space="preserve">Flow lines are </w:t>
      </w:r>
      <w:r>
        <w:rPr>
          <w:i/>
        </w:rPr>
        <w:t>modeled</w:t>
      </w:r>
      <w:r>
        <w:t xml:space="preserve"> optimal pairings, not observed deliveries</w:t>
      </w:r>
    </w:p>
    <w:p>
      <w:pPr>
        <w:pStyle w:val="ListBullet"/>
      </w:pPr>
      <w:r>
        <w:t>"Beneficiary" nodes are public-facing addresses; many community recipients (informal networks, neighbors) invisible</w:t>
      </w:r>
    </w:p>
    <w:p>
      <w:pPr>
        <w:pStyle w:val="ListBullet"/>
      </w:pPr>
      <w:r>
        <w:t>The 96.5% composted figure conceals upstream questions: was overproduction avoidable in the first place?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