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5 — Legend Specification</w:t>
      </w:r>
    </w:p>
    <w:p>
      <w:pPr>
        <w:pStyle w:val="Heading2"/>
      </w:pPr>
      <w:r>
        <w:t>Title</w:t>
      </w:r>
    </w:p>
    <w:p>
      <w:r>
        <w:rPr>
          <w:b/>
        </w:rPr>
        <w:t>Campus-to-Community Surplus Flow</w:t>
      </w:r>
      <w:r>
        <w:t xml:space="preserve"> — Real-time food rescue routing from GT dining surplus to redistribution network Source: LeanPath audit Mar 4–10 2026 · I2CE Lab April 2026</w:t>
      </w:r>
    </w:p>
    <w:p>
      <w:pPr>
        <w:pStyle w:val="Heading2"/>
      </w:pPr>
      <w:r>
        <w:t>Pin classification — urgency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Urgency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 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Animation</w:t>
            </w:r>
          </w:p>
        </w:tc>
      </w:tr>
      <w:tr>
        <w:tc>
          <w:tcPr>
            <w:tcW w:type="dxa" w:w="2160"/>
          </w:tcPr>
          <w:p>
            <w:r>
              <w:t>Critical (≤4 hrs remaining)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#ef5350</w:t>
            </w:r>
            <w:r>
              <w:t xml:space="preserve"> red</w:t>
            </w:r>
          </w:p>
        </w:tc>
        <w:tc>
          <w:tcPr>
            <w:tcW w:type="dxa" w:w="2160"/>
          </w:tcPr>
          <w:p>
            <w:r>
              <w:t>18 px if 200+ lbs / 14 px 50–200 / 10 px &lt;50</w:t>
            </w:r>
          </w:p>
        </w:tc>
        <w:tc>
          <w:tcPr>
            <w:tcW w:type="dxa" w:w="2160"/>
          </w:tcPr>
          <w:p>
            <w:r>
              <w:t>Pulse</w:t>
            </w:r>
          </w:p>
        </w:tc>
      </w:tr>
      <w:tr>
        <w:tc>
          <w:tcPr>
            <w:tcW w:type="dxa" w:w="2160"/>
          </w:tcPr>
          <w:p>
            <w:r>
              <w:t>Soon (4–24 hrs)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#ffc107</w:t>
            </w:r>
            <w:r>
              <w:t xml:space="preserve"> amber</w:t>
            </w:r>
          </w:p>
        </w:tc>
        <w:tc>
          <w:tcPr>
            <w:tcW w:type="dxa" w:w="2160"/>
          </w:tcPr>
          <w:p>
            <w:r>
              <w:t>18 / 14 / 10 px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Stable (&gt;24 hrs)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#66bb6a</w:t>
            </w:r>
            <w:r>
              <w:t xml:space="preserve"> green</w:t>
            </w:r>
          </w:p>
        </w:tc>
        <w:tc>
          <w:tcPr>
            <w:tcW w:type="dxa" w:w="2160"/>
          </w:tcPr>
          <w:p>
            <w:r>
              <w:t>18 / 14 / 10 px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</w:tbl>
    <w:p/>
    <w:p>
      <w:pPr>
        <w:pStyle w:val="Heading2"/>
      </w:pPr>
      <w:r>
        <w:t>Flow line — directional</w:t>
      </w:r>
    </w:p>
    <w:p>
      <w:pPr>
        <w:pStyle w:val="ListBullet"/>
      </w:pPr>
      <w:r>
        <w:rPr>
          <w:b/>
        </w:rPr>
        <w:t>Route line:</w:t>
      </w:r>
      <w:r>
        <w:t xml:space="preserve"> solid Nr. 51 spinellblau </w:t>
      </w:r>
      <w:r>
        <w:rPr>
          <w:rFonts w:ascii="Consolas" w:hAnsi="Consolas"/>
          <w:sz w:val="20"/>
          <w:shd w:val="clear" w:color="auto" w:fill="F0F0F0"/>
        </w:rPr>
        <w:t>#1c5c84</w:t>
      </w:r>
      <w:r>
        <w:t xml:space="preserve"> 4px</w:t>
      </w:r>
    </w:p>
    <w:p>
      <w:pPr>
        <w:pStyle w:val="ListBullet"/>
      </w:pPr>
      <w:r>
        <w:rPr>
          <w:b/>
        </w:rPr>
        <w:t>Glow underlay:</w:t>
      </w:r>
      <w:r>
        <w:t xml:space="preserve"> Nr. 51 8px 30% opacity</w:t>
      </w:r>
    </w:p>
    <w:p>
      <w:pPr>
        <w:pStyle w:val="ListBullet"/>
      </w:pPr>
      <w:r>
        <w:rPr>
          <w:b/>
        </w:rPr>
        <w:t>Arrowhead:</w:t>
      </w:r>
      <w:r>
        <w:t xml:space="preserve"> Nr. 59 petrolgrün </w:t>
      </w:r>
      <w:r>
        <w:rPr>
          <w:rFonts w:ascii="Consolas" w:hAnsi="Consolas"/>
          <w:sz w:val="20"/>
          <w:shd w:val="clear" w:color="auto" w:fill="F0F0F0"/>
        </w:rPr>
        <w:t>#7a958c</w:t>
      </w:r>
      <w:r>
        <w:t xml:space="preserve"> triangle at destination</w:t>
      </w:r>
    </w:p>
    <w:p>
      <w:pPr>
        <w:pStyle w:val="ListBullet"/>
      </w:pPr>
      <w:r>
        <w:rPr>
          <w:b/>
        </w:rPr>
        <w:t>Route chain numbers:</w:t>
      </w:r>
      <w:r>
        <w:t xml:space="preserve"> Nr. 52 gray with white circle background</w:t>
      </w:r>
    </w:p>
    <w:p>
      <w:pPr>
        <w:pStyle w:val="Heading2"/>
      </w:pPr>
      <w:r>
        <w:t>Destination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Node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Shape</w:t>
            </w:r>
          </w:p>
        </w:tc>
      </w:tr>
      <w:tr>
        <w:tc>
          <w:tcPr>
            <w:tcW w:type="dxa" w:w="2880"/>
          </w:tcPr>
          <w:p>
            <w:r>
              <w:t>Redistribution (food bank / shelter)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#7a958c</w:t>
            </w:r>
            <w:r>
              <w:t xml:space="preserve"> (Nr. 59 petrolgrün)</w:t>
            </w:r>
          </w:p>
        </w:tc>
        <w:tc>
          <w:tcPr>
            <w:tcW w:type="dxa" w:w="2880"/>
          </w:tcPr>
          <w:p>
            <w:r>
              <w:t>Triangle, 12px, white halo</w:t>
            </w:r>
          </w:p>
        </w:tc>
      </w:tr>
      <w:tr>
        <w:tc>
          <w:tcPr>
            <w:tcW w:type="dxa" w:w="2880"/>
          </w:tcPr>
          <w:p>
            <w:r>
              <w:t>Beneficiary access (pantry / community fridge)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#7d9caf</w:t>
            </w:r>
            <w:r>
              <w:t xml:space="preserve"> (Nr. 57 lichtblau)</w:t>
            </w:r>
          </w:p>
        </w:tc>
        <w:tc>
          <w:tcPr>
            <w:tcW w:type="dxa" w:w="2880"/>
          </w:tcPr>
          <w:p>
            <w:r>
              <w:t>Circle 12px, white halo</w:t>
            </w:r>
          </w:p>
        </w:tc>
      </w:tr>
      <w:tr>
        <w:tc>
          <w:tcPr>
            <w:tcW w:type="dxa" w:w="2880"/>
          </w:tcPr>
          <w:p>
            <w:r>
              <w:t>Compost site (Fulton permitted)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#5b7282</w:t>
            </w:r>
            <w:r>
              <w:t xml:space="preserve"> (Nr. 52)</w:t>
            </w:r>
          </w:p>
        </w:tc>
        <w:tc>
          <w:tcPr>
            <w:tcW w:type="dxa" w:w="2880"/>
          </w:tcPr>
          <w:p>
            <w:r>
              <w:t>Square 10px</w:t>
            </w:r>
          </w:p>
        </w:tc>
      </w:tr>
    </w:tbl>
    <w:p/>
    <w:p>
      <w:pPr>
        <w:pStyle w:val="Heading2"/>
      </w:pPr>
      <w:r>
        <w:t>Symbology layers (draw order, bottom to top)</w:t>
      </w:r>
    </w:p>
    <w:p>
      <w:pPr>
        <w:pStyle w:val="ListNumber"/>
      </w:pPr>
      <w:r>
        <w:t>Base: dark-gray vector basemap (</w:t>
      </w:r>
      <w:r>
        <w:rPr>
          <w:rFonts w:ascii="Consolas" w:hAnsi="Consolas"/>
          <w:sz w:val="20"/>
          <w:shd w:val="clear" w:color="auto" w:fill="F0F0F0"/>
        </w:rPr>
        <w:t>dark-gray-vector</w:t>
      </w:r>
      <w:r>
        <w:t xml:space="preserve"> ArcGIS)</w:t>
      </w:r>
    </w:p>
    <w:p>
      <w:pPr>
        <w:pStyle w:val="ListNumber"/>
      </w:pPr>
      <w:r>
        <w:t xml:space="preserve">GT campus boundary — </w:t>
      </w:r>
      <w:r>
        <w:rPr>
          <w:rFonts w:ascii="Consolas" w:hAnsi="Consolas"/>
          <w:sz w:val="20"/>
          <w:shd w:val="clear" w:color="auto" w:fill="F0F0F0"/>
        </w:rPr>
        <w:t>#7a958c</w:t>
      </w:r>
      <w:r>
        <w:t xml:space="preserve"> 0.25 opacity polygon</w:t>
      </w:r>
    </w:p>
    <w:p>
      <w:pPr>
        <w:pStyle w:val="ListNumber"/>
      </w:pPr>
      <w:r>
        <w:t>Redistribution nodes (background pool)</w:t>
      </w:r>
    </w:p>
    <w:p>
      <w:pPr>
        <w:pStyle w:val="ListNumber"/>
      </w:pPr>
      <w:r>
        <w:t>Compost site dots</w:t>
      </w:r>
    </w:p>
    <w:p>
      <w:pPr>
        <w:pStyle w:val="ListNumber"/>
      </w:pPr>
      <w:r>
        <w:t>Flow lines (with glow underlay)</w:t>
      </w:r>
    </w:p>
    <w:p>
      <w:pPr>
        <w:pStyle w:val="ListNumber"/>
      </w:pPr>
      <w:r>
        <w:t>Surplus pins (origin) sized + colored by urgency, pulse animation on Critical</w:t>
      </w:r>
    </w:p>
    <w:p>
      <w:pPr>
        <w:pStyle w:val="ListNumber"/>
      </w:pPr>
      <w:r>
        <w:t>Route chain numbers</w:t>
      </w:r>
    </w:p>
    <w:p>
      <w:pPr>
        <w:pStyle w:val="ListNumber"/>
      </w:pPr>
      <w:r>
        <w:t>Destination pins (highlighted)</w:t>
      </w:r>
    </w:p>
    <w:p>
      <w:pPr>
        <w:pStyle w:val="Heading2"/>
      </w:pPr>
      <w:r>
        <w:t>Auxiliary elements</w:t>
      </w:r>
    </w:p>
    <w:p>
      <w:pPr>
        <w:pStyle w:val="ListBullet"/>
      </w:pPr>
      <w:r>
        <w:rPr>
          <w:b/>
        </w:rPr>
        <w:t>Fleet panel inset:</w:t>
      </w:r>
      <w:r>
        <w:t xml:space="preserve"> "1,051 lbs in 30 grouped pins · 6 Critical · 12 Soon · 12 Stable"</w:t>
      </w:r>
    </w:p>
    <w:p>
      <w:pPr>
        <w:pStyle w:val="ListBullet"/>
      </w:pPr>
      <w:r>
        <w:rPr>
          <w:b/>
        </w:rPr>
        <w:t>Scoring formula</w:t>
      </w:r>
      <w:r>
        <w:t xml:space="preserve"> rendered in legend footer: </w:t>
      </w:r>
      <w:r>
        <w:rPr>
          <w:rFonts w:ascii="Consolas" w:hAnsi="Consolas"/>
          <w:sz w:val="20"/>
          <w:shd w:val="clear" w:color="auto" w:fill="F0F0F0"/>
        </w:rPr>
        <w:t>priority = 0.50·urgency + 0.30·volume + 0.20·proximity</w:t>
      </w:r>
    </w:p>
    <w:p>
      <w:pPr>
        <w:pStyle w:val="ListBullet"/>
      </w:pPr>
      <w:r>
        <w:rPr>
          <w:b/>
        </w:rPr>
        <w:t>Transport hierarchy</w:t>
      </w:r>
      <w:r>
        <w:t xml:space="preserve"> mini-legend (van → dry → bike → walk-in)</w:t>
      </w:r>
    </w:p>
    <w:p>
      <w:pPr>
        <w:pStyle w:val="ListBullet"/>
      </w:pPr>
      <w:r>
        <w:rPr>
          <w:b/>
        </w:rPr>
        <w:t>Source line:</w:t>
      </w:r>
      <w:r>
        <w:t xml:space="preserve"> "LeanPath audit Mar 4–10 2026 · 408 entries · 2,316 lbs total. Routing via ArcGIS Route API."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