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Critical Cartography — A Reflexive Review</w:t>
      </w:r>
    </w:p>
    <w:p>
      <w:r>
        <w:rPr>
          <w:b/>
        </w:rPr>
        <w:t>Atlanta Food Circular Network · Quan Duong · Georgia Tech I2CE Lab · April 2026</w:t>
      </w:r>
    </w:p>
    <w:p>
      <w:pPr>
        <w:ind w:left="504"/>
        <w:pBdr>
          <w:left w:val="single" w:sz="12" w:color="7D9CAF"/>
        </w:pBdr>
      </w:pPr>
      <w:r>
        <w:rPr>
          <w:i/>
        </w:rPr>
        <w:t xml:space="preserve">  </w:t>
      </w:r>
      <w:r>
        <w:rPr>
          <w:i/>
        </w:rPr>
        <w:t>"The map is not the territory."</w:t>
      </w:r>
      <w:r>
        <w:rPr>
          <w:i/>
        </w:rPr>
        <w:t xml:space="preserve"> — Korzybski, 1933  Every map presented in </w:t>
      </w:r>
      <w:r>
        <w:rPr>
          <w:rFonts w:ascii="Consolas" w:hAnsi="Consolas"/>
          <w:i/>
          <w:sz w:val="20"/>
          <w:shd w:val="clear" w:color="auto" w:fill="F0F0F0"/>
        </w:rPr>
        <w:t>1_Spatial_Analytics/</w:t>
      </w:r>
      <w:r>
        <w:rPr>
          <w:i/>
        </w:rPr>
        <w:t xml:space="preserve"> is a set of choices: which data to include, which classification breaks, which colors, which projection, what to label, what to silence. This document interrogates those choices for the five AFCN maps and the dashboards built on top of them.</w:t>
      </w:r>
      <w:r>
        <w:rPr>
          <w:i/>
        </w:rPr>
      </w:r>
    </w:p>
    <w:p>
      <w:r>
        <w:rPr>
          <w:color w:val="A4B1BC"/>
        </w:rPr>
        <w:t>────────────────────────────────────────────────────────────</w:t>
      </w:r>
    </w:p>
    <w:p>
      <w:pPr>
        <w:pStyle w:val="Heading2"/>
      </w:pPr>
      <w:r>
        <w:t>1. Whose data, whose city?</w:t>
      </w:r>
    </w:p>
    <w:p>
      <w:r>
        <w:t xml:space="preserve">The AFCN project compiles data from </w:t>
      </w:r>
      <w:r>
        <w:rPr>
          <w:b/>
        </w:rPr>
        <w:t>eight institutional sources</w:t>
      </w:r>
      <w:r>
        <w:t xml:space="preserve"> — CDC, USDA, US Census, OpenStreetMap, MARTA, City of Atlanta DPCD, Atlanta Community Food Bank (ACFB), and our own LeanPath audit on Georgia Tech's campus. Each of these is itself a constructed view of the city.</w:t>
      </w:r>
    </w:p>
    <w:p>
      <w:pPr>
        <w:pStyle w:val="Heading3"/>
      </w:pPr>
      <w:r>
        <w:t>What gets counted</w:t>
      </w:r>
    </w:p>
    <w:p>
      <w:pPr>
        <w:pStyle w:val="ListBullet"/>
      </w:pPr>
      <w:r>
        <w:rPr>
          <w:b/>
        </w:rPr>
        <w:t>USDA SNAP retailer roster</w:t>
      </w:r>
      <w:r>
        <w:t xml:space="preserve"> counts a retailer if it is registered to accept SNAP. Cash-only corner stores, family-run produce markets without payment-system infrastructure, and informal vendors </w:t>
      </w:r>
      <w:r>
        <w:rPr>
          <w:i/>
        </w:rPr>
        <w:t>do not exist</w:t>
      </w:r>
      <w:r>
        <w:t xml:space="preserve"> in this dataset. The mRFEI index in Map 1 inherits this silence and renders it as "low density" — but the lived reality in Bankhead or English Avenue is that </w:t>
      </w:r>
      <w:r>
        <w:rPr>
          <w:i/>
        </w:rPr>
        <w:t>informal food provisioning is dense</w:t>
      </w:r>
      <w:r>
        <w:t>; it just isn't legible to the state.</w:t>
      </w:r>
    </w:p>
    <w:p>
      <w:pPr>
        <w:pStyle w:val="ListBullet"/>
      </w:pPr>
      <w:r>
        <w:rPr>
          <w:b/>
        </w:rPr>
        <w:t>CDC PLACES food insecurity</w:t>
      </w:r>
      <w:r>
        <w:t xml:space="preserve"> (Map 4) is a </w:t>
      </w:r>
      <w:r>
        <w:rPr>
          <w:i/>
        </w:rPr>
        <w:t>modeled small-area estimate</w:t>
      </w:r>
      <w:r>
        <w:t>, not direct survey. PLACES uses a multilevel regression with poststratification (MRP) — meaning a tract's score is a weighted blend of statewide patterns and local demographics. Smoothing reduces variance; outlier tracts are pulled toward the regional mean. The map looks authoritative but the granularity is partly synthetic.</w:t>
      </w:r>
    </w:p>
    <w:p>
      <w:pPr>
        <w:pStyle w:val="ListBullet"/>
      </w:pPr>
      <w:r>
        <w:rPr>
          <w:b/>
        </w:rPr>
        <w:t>OpenStreetMap</w:t>
      </w:r>
      <w:r>
        <w:t xml:space="preserve"> (used for fast food, restaurants, walksheds) is </w:t>
      </w:r>
      <w:r>
        <w:rPr>
          <w:i/>
        </w:rPr>
        <w:t>volunteer-edited</w:t>
      </w:r>
      <w:r>
        <w:t>. Coverage in Buckhead is denser than in southwest Atlanta — a function of editor demographics, not actual store density.</w:t>
      </w:r>
    </w:p>
    <w:p>
      <w:pPr>
        <w:pStyle w:val="Heading3"/>
      </w:pPr>
      <w:r>
        <w:t>What gets omitted</w:t>
      </w:r>
    </w:p>
    <w:p>
      <w:pPr>
        <w:pStyle w:val="ListBullet"/>
      </w:pPr>
      <w:r>
        <w:rPr>
          <w:b/>
        </w:rPr>
        <w:t>Home gardens, balcony gardens, neighbor-to-neighbor distribution</w:t>
      </w:r>
      <w:r>
        <w:t>: invisible to all our layers</w:t>
      </w:r>
    </w:p>
    <w:p>
      <w:pPr>
        <w:pStyle w:val="ListBullet"/>
      </w:pPr>
      <w:r>
        <w:rPr>
          <w:b/>
        </w:rPr>
        <w:t>Mutual-aid networks</w:t>
      </w:r>
      <w:r>
        <w:t xml:space="preserve"> that operate without formal addresses (e.g., front-porch fridges)</w:t>
      </w:r>
    </w:p>
    <w:p>
      <w:pPr>
        <w:pStyle w:val="ListBullet"/>
      </w:pPr>
      <w:r>
        <w:rPr>
          <w:b/>
        </w:rPr>
        <w:t>Mobile vendors and food trucks</w:t>
      </w:r>
      <w:r>
        <w:t>: present in OSM only sporadically</w:t>
      </w:r>
    </w:p>
    <w:p>
      <w:pPr>
        <w:pStyle w:val="ListBullet"/>
      </w:pPr>
      <w:r>
        <w:rPr>
          <w:b/>
        </w:rPr>
        <w:t>Religious-institution food pantries</w:t>
      </w:r>
      <w:r>
        <w:t xml:space="preserve"> that don't publicize to ACFB: we captured </w:t>
      </w:r>
      <w:r>
        <w:rPr>
          <w:rFonts w:ascii="Consolas" w:hAnsi="Consolas"/>
          <w:sz w:val="20"/>
          <w:shd w:val="clear" w:color="auto" w:fill="F0F0F0"/>
        </w:rPr>
        <w:t>church_pantries_atl.geojson</w:t>
      </w:r>
      <w:r>
        <w:t xml:space="preserve"> partially through field-survey, but coverage is incomplete</w:t>
      </w:r>
    </w:p>
    <w:p>
      <w:r>
        <w:t xml:space="preserve">The maps thus tell a story of </w:t>
      </w:r>
      <w:r>
        <w:rPr>
          <w:b/>
        </w:rPr>
        <w:t>institutional food provision</w:t>
      </w:r>
      <w:r>
        <w:t>, not of the food system in its entirety.</w:t>
      </w:r>
    </w:p>
    <w:p>
      <w:r>
        <w:rPr>
          <w:color w:val="A4B1BC"/>
        </w:rPr>
        <w:t>────────────────────────────────────────────────────────────</w:t>
      </w:r>
    </w:p>
    <w:p>
      <w:pPr>
        <w:pStyle w:val="Heading2"/>
      </w:pPr>
      <w:r>
        <w:t>2. Classification is argument</w:t>
      </w:r>
    </w:p>
    <w:p>
      <w:pPr>
        <w:pStyle w:val="Heading3"/>
      </w:pPr>
      <w:r>
        <w:t>Map 1 — Why quantile, why 5 classes?</w:t>
      </w:r>
    </w:p>
    <w:p>
      <w:r>
        <w:t xml:space="preserve">mRFEI is bounded 0–100. We chose </w:t>
      </w:r>
      <w:r>
        <w:rPr>
          <w:b/>
        </w:rPr>
        <w:t>quantile breaks with 5 classes</w:t>
      </w:r>
      <w:r>
        <w:t xml:space="preserve"> rather than equal interval or natural breaks (Jenks). The result: every quintile has roughly equal area on the map, which makes the visual symmetric and "balanced." But mRFEI is right-skewed in Atlanta — most tracts cluster in 10–30. Equal-interval breaks would put 80% of the city in the bottom two classes and make the map mostly light grey, dramatizing the food desert claim. Jenks breaks would optimize for variance within each class and produce uneven, hard-to-justify thresholds.</w:t>
      </w:r>
    </w:p>
    <w:p>
      <w:r>
        <w:rPr>
          <w:b/>
        </w:rPr>
        <w:t>Quantile makes the map easy to read at the cost of analytical honesty.</w:t>
      </w:r>
      <w:r>
        <w:t xml:space="preserve"> A reader who doesn't know the underlying distribution will assume that the "middle" class (20–35) represents an average city — when in fact 20–35 is the </w:t>
      </w:r>
      <w:r>
        <w:rPr>
          <w:i/>
        </w:rPr>
        <w:t>upper</w:t>
      </w:r>
      <w:r>
        <w:t xml:space="preserve"> range for Atlanta tracts.</w:t>
      </w:r>
    </w:p>
    <w:p>
      <w:pPr>
        <w:pStyle w:val="Heading3"/>
      </w:pPr>
      <w:r>
        <w:t>Map 2 — The 0.5 / 1.0 mile threshold</w:t>
      </w:r>
    </w:p>
    <w:p>
      <w:r>
        <w:t xml:space="preserve">USDA's LILA convention uses 1.0 mile (urban) and 10 miles (rural) as access cutoffs. These are </w:t>
      </w:r>
      <w:r>
        <w:rPr>
          <w:i/>
        </w:rPr>
        <w:t>administrative conveniences</w:t>
      </w:r>
      <w:r>
        <w:t>, not behavioral truths. Walking 0.9 miles to a Kroger in 95°F humidity with two children is functionally different from driving 0.9 miles in an air-conditioned car. The threshold conceals this by treating distance as the only variable.</w:t>
      </w:r>
    </w:p>
    <w:p>
      <w:r>
        <w:t xml:space="preserve">We mitigated this by overlaying tract-level </w:t>
      </w:r>
      <w:r>
        <w:rPr>
          <w:b/>
        </w:rPr>
        <w:t>vehicle availability</w:t>
      </w:r>
      <w:r>
        <w:t xml:space="preserve"> in Map 3, but the two layers are presented separately. A reader has to mentally combine them; many will not.</w:t>
      </w:r>
    </w:p>
    <w:p>
      <w:pPr>
        <w:pStyle w:val="Heading3"/>
      </w:pPr>
      <w:r>
        <w:t>Map 4 — The composite-index problem (M8 — the deepest cartographic stake)</w:t>
      </w:r>
    </w:p>
    <w:p>
      <w:r>
        <w:t xml:space="preserve">Map 4 is </w:t>
      </w:r>
      <w:r>
        <w:rPr>
          <w:b/>
        </w:rPr>
        <w:t>M8, the Composite Food System Vulnerability Index</w:t>
      </w:r>
      <w:r>
        <w:t xml:space="preserve"> — seven indicators (poverty, income, vehicle access, SNAP rate, distance-to-grocery, obesity, diabetes) collapsed into a single per-tract score from 0 to 100. This is the AFCN Phase 2 capstone and, paradoxically, the map I am least comfortable defending.</w:t>
      </w:r>
    </w:p>
    <w:p>
      <w:r>
        <w:rPr>
          <w:b/>
        </w:rPr>
        <w:t>Three concealed choices in M8:</w:t>
      </w:r>
    </w:p>
    <w:p>
      <w:r>
        <w:rPr>
          <w:b/>
        </w:rPr>
        <w:t>(a) The weights are political claims masquerading as engineering.</w:t>
      </w:r>
      <w:r>
        <w:t xml:space="preserve"> I assigned poverty 0.20, income 0.15, vehicle access 0.15, distance 0.15, obesity 0.15, SNAP 0.10, diabetes 0.10. These numbers were "informed by literature" — meaning I read the USDA LILA documentation and the CDC SDOH framework and chose weights that produced a map I found </w:t>
      </w:r>
      <w:r>
        <w:rPr>
          <w:i/>
        </w:rPr>
        <w:t>plausible</w:t>
      </w:r>
      <w:r>
        <w:t xml:space="preserve">. A different researcher with the same literature could justify 0.30 on diabetes (because diabetes is the downstream outcome that policy targets) and produce a substantially different map. The tornado-chart inset I included in the layout makes this contestable — but the headline map only shows </w:t>
      </w:r>
      <w:r>
        <w:rPr>
          <w:i/>
        </w:rPr>
        <w:t>one</w:t>
      </w:r>
      <w:r>
        <w:t xml:space="preserve"> weighting.</w:t>
      </w:r>
    </w:p>
    <w:p>
      <w:r>
        <w:rPr>
          <w:b/>
        </w:rPr>
        <w:t>(b) Same score, different drivers.</w:t>
      </w:r>
      <w:r>
        <w:t xml:space="preserve"> A tract scoring 75 might be high-poverty + adequate-access, OR low-poverty + extreme-access-distance + high-obesity. The map shows them as the same shade of blue. The policy levers are entirely different — yet the composite score erases the difference. I addressed this with a "tract-score breakdown" inset for two contrast tracts, but a reader scanning the map will not look at the inset. </w:t>
      </w:r>
      <w:r>
        <w:rPr>
          <w:b/>
        </w:rPr>
        <w:t>The headline map suppresses the heterogeneity that matters most for intervention design.</w:t>
      </w:r>
    </w:p>
    <w:p>
      <w:r>
        <w:rPr>
          <w:b/>
        </w:rPr>
        <w:t>(c) The bivariate prototype is the honest map; M8 is the persuasive one.</w:t>
      </w:r>
      <w:r>
        <w:t xml:space="preserve"> The bivariate obesity × LILA technique that lived in this slot in the previous iteration was a </w:t>
      </w:r>
      <w:r>
        <w:rPr>
          <w:i/>
        </w:rPr>
        <w:t>narrower</w:t>
      </w:r>
      <w:r>
        <w:t xml:space="preserve"> claim — two variables, 9 classes — but it was also a </w:t>
      </w:r>
      <w:r>
        <w:rPr>
          <w:i/>
        </w:rPr>
        <w:t>more honest</w:t>
      </w:r>
      <w:r>
        <w:t xml:space="preserve"> claim, because the reader could see exactly which two things were being compared. M8 hides those two variables (and five more) inside an opaque score. The bivariate is preserved as an inset, but the visual hierarchy makes the composite dominant. </w:t>
      </w:r>
      <w:r>
        <w:rPr>
          <w:b/>
        </w:rPr>
        <w:t>The price of a "powerful" capstone map is a loss of legibility about what's being claimed.</w:t>
      </w:r>
    </w:p>
    <w:p>
      <w:r>
        <w:t xml:space="preserve">There is a fourth choice that the map cannot rescue itself from: the </w:t>
      </w:r>
      <w:r>
        <w:rPr>
          <w:b/>
        </w:rPr>
        <w:t>two-county scope</w:t>
      </w:r>
      <w:r>
        <w:t xml:space="preserve"> (Fulton + DeKalb). This excludes Clayton, Cobb, Gwinnett. Food-insecure populations in suburban Cobb (a county with growing food-bank demand since 2021) literally do not exist on this map. I could have extended the scope. I chose not to, because the additional API pulls would have taken another week. That was a research-design choice driven by deadline pressure, not by analytical justification.</w:t>
      </w:r>
    </w:p>
    <w:p>
      <w:r>
        <w:rPr>
          <w:b/>
        </w:rPr>
        <w:t>Sub-claim that survives the critique:</w:t>
      </w:r>
      <w:r>
        <w:t xml:space="preserve"> M8 is </w:t>
      </w:r>
      <w:r>
        <w:rPr>
          <w:i/>
        </w:rPr>
        <w:t>useful as a screening tool</w:t>
      </w:r>
      <w:r>
        <w:t xml:space="preserve"> — it correctly identifies the highest-priority quintile of tracts for further investigation. It is </w:t>
      </w:r>
      <w:r>
        <w:rPr>
          <w:i/>
        </w:rPr>
        <w:t>misleading as a policy map</w:t>
      </w:r>
      <w:r>
        <w:t xml:space="preserve"> — because it conceals </w:t>
      </w:r>
      <w:r>
        <w:rPr>
          <w:i/>
        </w:rPr>
        <w:t>why</w:t>
      </w:r>
      <w:r>
        <w:t xml:space="preserve"> a tract is at risk. The legend footer of the printed map says exactly this: "Composite indices are interpretive tools, not ground truth."</w:t>
      </w:r>
    </w:p>
    <w:p>
      <w:pPr>
        <w:pStyle w:val="Heading3"/>
      </w:pPr>
      <w:r>
        <w:t>Map 5 — Whose surplus, whose rescue?</w:t>
      </w:r>
    </w:p>
    <w:p>
      <w:r>
        <w:t xml:space="preserve">The surplus map shows GT campus surplus flowing </w:t>
      </w:r>
      <w:r>
        <w:rPr>
          <w:i/>
        </w:rPr>
        <w:t>outward</w:t>
      </w:r>
      <w:r>
        <w:t xml:space="preserve"> to recipients. The narrative is: </w:t>
      </w:r>
      <w:r>
        <w:rPr>
          <w:i/>
        </w:rPr>
        <w:t>Tech generates excess; the community absorbs it.</w:t>
      </w:r>
      <w:r>
        <w:t xml:space="preserve"> This framing has a politics. It positions the university as benefactor and the community as recipient — even as the same map renders 96.5% of GT's waste as </w:t>
      </w:r>
      <w:r>
        <w:rPr>
          <w:b/>
        </w:rPr>
        <w:t>composted, not donated</w:t>
      </w:r>
      <w:r>
        <w:t xml:space="preserve">. The dominant story (2,236 lbs composted vs 80 lbs donated) is buried in the dashboard side panel; the map foregrounds the 1,051 lbs of </w:t>
      </w:r>
      <w:r>
        <w:rPr>
          <w:i/>
        </w:rPr>
        <w:t>modeled</w:t>
      </w:r>
      <w:r>
        <w:t xml:space="preserve"> rescue routes that may or may not have actually been delivered.</w:t>
      </w:r>
    </w:p>
    <w:p>
      <w:r>
        <w:rPr>
          <w:color w:val="A4B1BC"/>
        </w:rPr>
        <w:t>────────────────────────────────────────────────────────────</w:t>
      </w:r>
    </w:p>
    <w:p>
      <w:pPr>
        <w:pStyle w:val="Heading2"/>
      </w:pPr>
      <w:r>
        <w:t>3. Color is rhetoric</w:t>
      </w:r>
    </w:p>
    <w:p>
      <w:r>
        <w:t xml:space="preserve">All five maps use the </w:t>
      </w:r>
      <w:r>
        <w:rPr>
          <w:b/>
        </w:rPr>
        <w:t>Farbton 1929 Standardfarbtonkarte</w:t>
      </w:r>
      <w:r>
        <w:t xml:space="preserve"> palette — Nr. 51 spinellblau as the primary "this matters" hue. This is a </w:t>
      </w:r>
      <w:r>
        <w:rPr>
          <w:i/>
        </w:rPr>
        <w:t>deliberate</w:t>
      </w:r>
      <w:r>
        <w:t xml:space="preserve"> aesthetic choice with consequences:</w:t>
      </w:r>
    </w:p>
    <w:p>
      <w:pPr>
        <w:pStyle w:val="ListBullet"/>
      </w:pPr>
      <w:r>
        <w:t xml:space="preserve">The palette evokes early-20th-century European industrial-design seriousness. It signals "this is rigorous, credible, technical" to a viewer trained in Western design history. To a viewer outside that tradition, it may read as </w:t>
      </w:r>
      <w:r>
        <w:rPr>
          <w:i/>
        </w:rPr>
        <w:t>cold, foreign, institutional</w:t>
      </w:r>
      <w:r>
        <w:t>.</w:t>
      </w:r>
    </w:p>
    <w:p>
      <w:pPr>
        <w:pStyle w:val="ListBullet"/>
      </w:pPr>
      <w:r>
        <w:t>Earlier iterations used warm clay tones (</w:t>
      </w:r>
      <w:r>
        <w:rPr>
          <w:rFonts w:ascii="Consolas" w:hAnsi="Consolas"/>
          <w:sz w:val="20"/>
          <w:shd w:val="clear" w:color="auto" w:fill="F0F0F0"/>
        </w:rPr>
        <w:t>#b3603a</w:t>
      </w:r>
      <w:r>
        <w:t xml:space="preserve">) which evoked "Atlanta red clay" and felt more regionally grounded. Switching to the Farbton family </w:t>
      </w:r>
      <w:r>
        <w:rPr>
          <w:b/>
        </w:rPr>
        <w:t>dropped regional specificity in favor of system coherence</w:t>
      </w:r>
      <w:r>
        <w:t>. Both are valid choices; neither is neutral.</w:t>
      </w:r>
    </w:p>
    <w:p>
      <w:pPr>
        <w:pStyle w:val="ListBullet"/>
      </w:pPr>
      <w:r>
        <w:t>The alert red (</w:t>
      </w:r>
      <w:r>
        <w:rPr>
          <w:rFonts w:ascii="Consolas" w:hAnsi="Consolas"/>
          <w:sz w:val="20"/>
          <w:shd w:val="clear" w:color="auto" w:fill="F0F0F0"/>
        </w:rPr>
        <w:t>#c62828</w:t>
      </w:r>
      <w:r>
        <w:t xml:space="preserve">) appears only in Map 2 (food desert risk) and Map 5 (Critical urgency surplus). Red signals </w:t>
      </w:r>
      <w:r>
        <w:rPr>
          <w:i/>
        </w:rPr>
        <w:t>threat</w:t>
      </w:r>
      <w:r>
        <w:t xml:space="preserve"> and </w:t>
      </w:r>
      <w:r>
        <w:rPr>
          <w:i/>
        </w:rPr>
        <w:t>urgency</w:t>
      </w:r>
      <w:r>
        <w:t xml:space="preserve"> in most Western contexts. We use it sparingly so it retains meaning — but its presence in Map 2 frames food deserts as crises rather than as ordinary consequences of disinvestment.</w:t>
      </w:r>
    </w:p>
    <w:p>
      <w:r>
        <w:rPr>
          <w:color w:val="A4B1BC"/>
        </w:rPr>
        <w:t>────────────────────────────────────────────────────────────</w:t>
      </w:r>
    </w:p>
    <w:p>
      <w:pPr>
        <w:pStyle w:val="Heading2"/>
      </w:pPr>
      <w:r>
        <w:t>4. The projection conceals as much as it preserves</w:t>
      </w:r>
    </w:p>
    <w:p>
      <w:r>
        <w:t xml:space="preserve">We chose </w:t>
      </w:r>
      <w:r>
        <w:rPr>
          <w:b/>
        </w:rPr>
        <w:t>EPSG:2240 (NAD 1983 StatePlane Georgia West, US Feet)</w:t>
      </w:r>
      <w:r>
        <w:t xml:space="preserve"> for all five maps because it minimizes distortion at the Atlanta scale and preserves shape (conformal). Distance measurements are accurate to within a few feet across the study area.</w:t>
      </w:r>
    </w:p>
    <w:p>
      <w:r>
        <w:t xml:space="preserve">But projection choice is also </w:t>
      </w:r>
      <w:r>
        <w:rPr>
          <w:b/>
        </w:rPr>
        <w:t>whose-world choice</w:t>
      </w:r>
      <w:r>
        <w:t>. StatePlane is a US federal projection, not a regional or community-anchored grid. It positions Atlanta as a point on a national map. A community-mapping tradition (e.g., Detroit Geographical Expedition, Bunge 1971) might choose a parochial projection centered on a neighborhood. Our choice prioritizes inter-tract comparison over neighborhood-scale lived experience.</w:t>
      </w:r>
    </w:p>
    <w:p>
      <w:r>
        <w:rPr>
          <w:color w:val="A4B1BC"/>
        </w:rPr>
        <w:t>────────────────────────────────────────────────────────────</w:t>
      </w:r>
    </w:p>
    <w:p>
      <w:pPr>
        <w:pStyle w:val="Heading2"/>
      </w:pPr>
      <w:r>
        <w:t>5. Reflexivity — who am I in this project?</w:t>
      </w:r>
    </w:p>
    <w:p>
      <w:r>
        <w:t xml:space="preserve">I am a Georgia Tech graduate researcher with institutional access to ACFB data, LeanPath dining-services data, and CDC/USDA APIs. I do not live in any of the food-desert tracts the maps highlight. I have not personally visited every pantry rendered as a dot. The maps' visual authority obscures the asymmetry between the </w:t>
      </w:r>
      <w:r>
        <w:rPr>
          <w:i/>
        </w:rPr>
        <w:t>mapper</w:t>
      </w:r>
      <w:r>
        <w:t xml:space="preserve"> and the </w:t>
      </w:r>
      <w:r>
        <w:rPr>
          <w:i/>
        </w:rPr>
        <w:t>mapped</w:t>
      </w:r>
      <w:r>
        <w:t>.</w:t>
      </w:r>
    </w:p>
    <w:p>
      <w:r>
        <w:t>Three concrete steps I took to partially address this:</w:t>
      </w:r>
    </w:p>
    <w:p>
      <w:pPr>
        <w:pStyle w:val="ListNumber"/>
      </w:pPr>
      <w:r>
        <w:rPr>
          <w:b/>
        </w:rPr>
        <w:t>The April 15 workshop</w:t>
      </w:r>
      <w:r>
        <w:t xml:space="preserve"> brought in 14 partner organizations (Atlanta Community Food Bank, Concrete Jungle, Wholesome Wave Georgia, Goodr, Second Helpings Atlanta, etc.). Their workshop boards (see </w:t>
      </w:r>
      <w:r>
        <w:rPr>
          <w:rFonts w:ascii="Consolas" w:hAnsi="Consolas"/>
          <w:sz w:val="20"/>
          <w:shd w:val="clear" w:color="auto" w:fill="F0F0F0"/>
        </w:rPr>
        <w:t>3_Community_Engagement/</w:t>
      </w:r>
      <w:r>
        <w:t>) corrected several gaps in our framework matrix.</w:t>
      </w:r>
    </w:p>
    <w:p>
      <w:pPr>
        <w:pStyle w:val="ListNumber"/>
      </w:pPr>
      <w:r>
        <w:rPr>
          <w:b/>
        </w:rPr>
        <w:t>The dashboard</w:t>
      </w:r>
      <w:r>
        <w:t xml:space="preserve"> is published under personal/academic license only. No commercial reuse is permitted, and I have committed to giving each partner org their own dashboard cut on request.</w:t>
      </w:r>
    </w:p>
    <w:p>
      <w:pPr>
        <w:pStyle w:val="ListNumber"/>
      </w:pPr>
      <w:r>
        <w:rPr>
          <w:b/>
        </w:rPr>
        <w:t>Provenance is visible.</w:t>
      </w:r>
      <w:r>
        <w:t xml:space="preserve"> Every map's </w:t>
      </w:r>
      <w:r>
        <w:rPr>
          <w:rFonts w:ascii="Consolas" w:hAnsi="Consolas"/>
          <w:sz w:val="20"/>
          <w:shd w:val="clear" w:color="auto" w:fill="F0F0F0"/>
        </w:rPr>
        <w:t>data_sources.md</w:t>
      </w:r>
      <w:r>
        <w:t xml:space="preserve"> lists exact files, dates, and licenses. A reader can re-run the analysis and contest the choices.</w:t>
      </w:r>
    </w:p>
    <w:p>
      <w:r>
        <w:t>These are partial mitigations, not solutions.</w:t>
      </w:r>
    </w:p>
    <w:p>
      <w:r>
        <w:rPr>
          <w:color w:val="A4B1BC"/>
        </w:rPr>
        <w:t>────────────────────────────────────────────────────────────</w:t>
      </w:r>
    </w:p>
    <w:p>
      <w:pPr>
        <w:pStyle w:val="Heading2"/>
      </w:pPr>
      <w:r>
        <w:t>6. What I would change if I did this again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What I did</w:t>
            </w:r>
          </w:p>
        </w:tc>
        <w:tc>
          <w:tcPr>
            <w:tcW w:type="dxa" w:w="2880"/>
          </w:tcPr>
          <w:p>
            <w:r>
              <w:rPr>
                <w:b/>
              </w:rPr>
              <w:t>What I'd change</w:t>
            </w:r>
          </w:p>
        </w:tc>
        <w:tc>
          <w:tcPr>
            <w:tcW w:type="dxa" w:w="2880"/>
          </w:tcPr>
          <w:p>
            <w:r>
              <w:rPr>
                <w:b/>
              </w:rPr>
              <w:t>Why</w:t>
            </w:r>
          </w:p>
        </w:tc>
      </w:tr>
      <w:tr>
        <w:tc>
          <w:tcPr>
            <w:tcW w:type="dxa" w:w="2880"/>
          </w:tcPr>
          <w:p>
            <w:r>
              <w:t>Single Atlanta-wide view</w:t>
            </w:r>
          </w:p>
        </w:tc>
        <w:tc>
          <w:tcPr>
            <w:tcW w:type="dxa" w:w="2880"/>
          </w:tcPr>
          <w:p>
            <w:r>
              <w:t xml:space="preserve">Add a </w:t>
            </w:r>
            <w:r>
              <w:rPr>
                <w:b/>
              </w:rPr>
              <w:t>community-scale companion map</w:t>
            </w:r>
            <w:r>
              <w:t xml:space="preserve"> per neighborhood, co-produced with residents</w:t>
            </w:r>
          </w:p>
        </w:tc>
        <w:tc>
          <w:tcPr>
            <w:tcW w:type="dxa" w:w="2880"/>
          </w:tcPr>
          <w:p>
            <w:r>
              <w:t>Aggregate maps obscure within-neighborhood variation that residents already understand</w:t>
            </w:r>
          </w:p>
        </w:tc>
      </w:tr>
      <w:tr>
        <w:tc>
          <w:tcPr>
            <w:tcW w:type="dxa" w:w="2880"/>
          </w:tcPr>
          <w:p>
            <w:r>
              <w:t>Quantile breaks on mRFEI</w:t>
            </w:r>
          </w:p>
        </w:tc>
        <w:tc>
          <w:tcPr>
            <w:tcW w:type="dxa" w:w="2880"/>
          </w:tcPr>
          <w:p>
            <w:r>
              <w:t xml:space="preserve">Show </w:t>
            </w:r>
            <w:r>
              <w:rPr>
                <w:b/>
              </w:rPr>
              <w:t>both quantile and Jenks</w:t>
            </w:r>
            <w:r>
              <w:t xml:space="preserve"> side-by-side, let the reader choose</w:t>
            </w:r>
          </w:p>
        </w:tc>
        <w:tc>
          <w:tcPr>
            <w:tcW w:type="dxa" w:w="2880"/>
          </w:tcPr>
          <w:p>
            <w:r>
              <w:t>Honest about the framing problem rather than hiding it</w:t>
            </w:r>
          </w:p>
        </w:tc>
      </w:tr>
      <w:tr>
        <w:tc>
          <w:tcPr>
            <w:tcW w:type="dxa" w:w="2880"/>
          </w:tcPr>
          <w:p>
            <w:r>
              <w:t>M8 composite as the headline</w:t>
            </w:r>
          </w:p>
        </w:tc>
        <w:tc>
          <w:tcPr>
            <w:tcW w:type="dxa" w:w="2880"/>
          </w:tcPr>
          <w:p>
            <w:r>
              <w:t xml:space="preserve">Lead with </w:t>
            </w:r>
            <w:r>
              <w:rPr>
                <w:b/>
              </w:rPr>
              <w:t>per-indicator small multiples</w:t>
            </w:r>
            <w:r>
              <w:t xml:space="preserve"> (7 small maps), end with the composite</w:t>
            </w:r>
          </w:p>
        </w:tc>
        <w:tc>
          <w:tcPr>
            <w:tcW w:type="dxa" w:w="2880"/>
          </w:tcPr>
          <w:p>
            <w:r>
              <w:t>Show the inputs before the synthesis; let the reader audit the weighting before accepting the score</w:t>
            </w:r>
          </w:p>
        </w:tc>
      </w:tr>
      <w:tr>
        <w:tc>
          <w:tcPr>
            <w:tcW w:type="dxa" w:w="2880"/>
          </w:tcPr>
          <w:p>
            <w:r>
              <w:t>LeanPath audit as the only campus data</w:t>
            </w:r>
          </w:p>
        </w:tc>
        <w:tc>
          <w:tcPr>
            <w:tcW w:type="dxa" w:w="2880"/>
          </w:tcPr>
          <w:p>
            <w:r>
              <w:t xml:space="preserve">Add </w:t>
            </w:r>
            <w:r>
              <w:rPr>
                <w:b/>
              </w:rPr>
              <w:t>focus-group narratives</w:t>
            </w:r>
            <w:r>
              <w:t xml:space="preserve"> from dining-hall workers</w:t>
            </w:r>
          </w:p>
        </w:tc>
        <w:tc>
          <w:tcPr>
            <w:tcW w:type="dxa" w:w="2880"/>
          </w:tcPr>
          <w:p>
            <w:r>
              <w:t>The data captures lbs but not labor, decision-making, or institutional pressure</w:t>
            </w:r>
          </w:p>
        </w:tc>
      </w:tr>
      <w:tr>
        <w:tc>
          <w:tcPr>
            <w:tcW w:type="dxa" w:w="2880"/>
          </w:tcPr>
          <w:p>
            <w:r>
              <w:t>Farbton palette across all views</w:t>
            </w:r>
          </w:p>
        </w:tc>
        <w:tc>
          <w:tcPr>
            <w:tcW w:type="dxa" w:w="2880"/>
          </w:tcPr>
          <w:p>
            <w:r>
              <w:t xml:space="preserve">A/B test with </w:t>
            </w:r>
            <w:r>
              <w:rPr>
                <w:b/>
              </w:rPr>
              <w:t>two palettes</w:t>
            </w:r>
            <w:r>
              <w:t xml:space="preserve"> — Farbton (system-coherent) vs warm Atlanta clay (regionally rooted)</w:t>
            </w:r>
          </w:p>
        </w:tc>
        <w:tc>
          <w:tcPr>
            <w:tcW w:type="dxa" w:w="2880"/>
          </w:tcPr>
          <w:p>
            <w:r>
              <w:t>The "right" palette depends on audience and intent; we shouldn't have just decided</w:t>
            </w:r>
          </w:p>
        </w:tc>
      </w:tr>
    </w:tbl>
    <w:p/>
    <w:p>
      <w:r>
        <w:rPr>
          <w:color w:val="A4B1BC"/>
        </w:rPr>
        <w:t>────────────────────────────────────────────────────────────</w:t>
      </w:r>
    </w:p>
    <w:p>
      <w:pPr>
        <w:pStyle w:val="Heading2"/>
      </w:pPr>
      <w:r>
        <w:t>7. Sources cited</w:t>
      </w:r>
    </w:p>
    <w:p>
      <w:pPr>
        <w:pStyle w:val="ListNumber"/>
      </w:pPr>
      <w:r>
        <w:t xml:space="preserve">Korzybski, A. (1933). </w:t>
      </w:r>
      <w:r>
        <w:rPr>
          <w:i/>
        </w:rPr>
        <w:t>Science and Sanity.</w:t>
      </w:r>
    </w:p>
    <w:p>
      <w:pPr>
        <w:pStyle w:val="ListNumber"/>
      </w:pPr>
      <w:r>
        <w:t xml:space="preserve">Stevens, J. (2015). </w:t>
      </w:r>
      <w:r>
        <w:rPr>
          <w:i/>
        </w:rPr>
        <w:t>Bivariate Choropleth Maps: A How-To Guide.</w:t>
      </w:r>
      <w:r>
        <w:t xml:space="preserve"> joshuastevens.net.</w:t>
      </w:r>
    </w:p>
    <w:p>
      <w:pPr>
        <w:pStyle w:val="ListNumber"/>
      </w:pPr>
      <w:r>
        <w:t xml:space="preserve">Bunge, W. (1971). </w:t>
      </w:r>
      <w:r>
        <w:rPr>
          <w:i/>
        </w:rPr>
        <w:t>Fitzgerald: Geography of a Revolution.</w:t>
      </w:r>
      <w:r>
        <w:t xml:space="preserve"> Schenkman.</w:t>
      </w:r>
    </w:p>
    <w:p>
      <w:pPr>
        <w:pStyle w:val="ListNumber"/>
      </w:pPr>
      <w:r>
        <w:t xml:space="preserve">Crampton, J. (2010). </w:t>
      </w:r>
      <w:r>
        <w:rPr>
          <w:i/>
        </w:rPr>
        <w:t>Mapping: A Critical Introduction to Cartography and GIS.</w:t>
      </w:r>
      <w:r>
        <w:t xml:space="preserve"> Wiley.</w:t>
      </w:r>
    </w:p>
    <w:p>
      <w:pPr>
        <w:pStyle w:val="ListNumber"/>
      </w:pPr>
      <w:r>
        <w:t xml:space="preserve">Harley, J.B. (1989). "Deconstructing the Map." </w:t>
      </w:r>
      <w:r>
        <w:rPr>
          <w:i/>
        </w:rPr>
        <w:t>Cartographica</w:t>
      </w:r>
      <w:r>
        <w:t xml:space="preserve"> 26(2): 1–20.</w:t>
      </w:r>
    </w:p>
    <w:p>
      <w:pPr>
        <w:pStyle w:val="ListNumber"/>
      </w:pPr>
      <w:r>
        <w:t xml:space="preserve">USDA ERS (2019). </w:t>
      </w:r>
      <w:r>
        <w:rPr>
          <w:i/>
        </w:rPr>
        <w:t>Food Access Research Atlas Documentation.</w:t>
      </w:r>
    </w:p>
    <w:p>
      <w:pPr>
        <w:pStyle w:val="ListNumber"/>
      </w:pPr>
      <w:r>
        <w:t xml:space="preserve">CDC (2024). </w:t>
      </w:r>
      <w:r>
        <w:rPr>
          <w:i/>
        </w:rPr>
        <w:t>PLACES: Local Data for Better Health.</w:t>
      </w:r>
      <w:r>
        <w:t xml:space="preserve"> Methodology v.2024.</w:t>
      </w:r>
    </w:p>
    <w:p>
      <w:pPr>
        <w:pStyle w:val="ListNumber"/>
      </w:pPr>
      <w:r>
        <w:t xml:space="preserve">Wood, D. (2010). </w:t>
      </w:r>
      <w:r>
        <w:rPr>
          <w:i/>
        </w:rPr>
        <w:t>Rethinking the Power of Maps.</w:t>
      </w:r>
      <w:r>
        <w:t xml:space="preserve"> Guilford.</w:t>
      </w:r>
    </w:p>
    <w:p>
      <w:r>
        <w:rPr>
          <w:color w:val="A4B1BC"/>
        </w:rPr>
        <w:t>────────────────────────────────────────────────────────────</w:t>
      </w:r>
    </w:p>
    <w:p>
      <w:r>
        <w:rPr>
          <w:i/>
        </w:rPr>
        <w:t>Word count target: 1,800–2,500. Current: ~1,950.</w:t>
      </w:r>
      <w:r>
        <w:t xml:space="preserve"> </w:t>
      </w:r>
      <w:r>
        <w:rPr>
          <w:i/>
        </w:rPr>
        <w:t>Export this to PDF for submission. Recommended: pandoc + xelatex with a serif body font and 1.5 line spacing.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93F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93F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93F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93F4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