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 1 — Food Retail Density (mRFEI)</w:t>
      </w:r>
    </w:p>
    <w:p>
      <w:pPr>
        <w:pStyle w:val="Heading2"/>
      </w:pPr>
      <w:r>
        <w:t>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</w:tr>
      <w:tr>
        <w:tc>
          <w:tcPr>
            <w:tcW w:type="dxa" w:w="1728"/>
          </w:tcPr>
          <w:p>
            <w:r>
              <w:t>Retail food env. index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geojson/map1_food_retail_mrfei.geojson</w:t>
            </w:r>
          </w:p>
        </w:tc>
        <w:tc>
          <w:tcPr>
            <w:tcW w:type="dxa" w:w="1728"/>
          </w:tcPr>
          <w:p>
            <w:r>
              <w:t>CDC mRFEI (Modified Retail Food Environment Index)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</w:tr>
      <w:tr>
        <w:tc>
          <w:tcPr>
            <w:tcW w:type="dxa" w:w="1728"/>
          </w:tcPr>
          <w:p>
            <w:r>
              <w:t>Classified grocery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geojson/atl_grocery_stores_classified.geojson</w:t>
            </w:r>
          </w:p>
        </w:tc>
        <w:tc>
          <w:tcPr>
            <w:tcW w:type="dxa" w:w="1728"/>
          </w:tcPr>
          <w:p>
            <w:r>
              <w:t>Workshop classification (Tier 1/2/3)</w:t>
            </w:r>
          </w:p>
        </w:tc>
        <w:tc>
          <w:tcPr>
            <w:tcW w:type="dxa" w:w="1728"/>
          </w:tcPr>
          <w:p>
            <w:r>
              <w:t>April 2026</w:t>
            </w:r>
          </w:p>
        </w:tc>
        <w:tc>
          <w:tcPr>
            <w:tcW w:type="dxa" w:w="1728"/>
          </w:tcPr>
          <w:p>
            <w:r>
              <w:t>I2CE Lab</w:t>
            </w:r>
          </w:p>
        </w:tc>
      </w:tr>
      <w:tr>
        <w:tc>
          <w:tcPr>
            <w:tcW w:type="dxa" w:w="1728"/>
          </w:tcPr>
          <w:p>
            <w:r>
              <w:t>Convenience stores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geojson/convenience_stores_atl.geojson</w:t>
            </w:r>
          </w:p>
        </w:tc>
        <w:tc>
          <w:tcPr>
            <w:tcW w:type="dxa" w:w="1728"/>
          </w:tcPr>
          <w:p>
            <w:r>
              <w:t>USDA SNAP retailer roster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  <w:tr>
        <w:tc>
          <w:tcPr>
            <w:tcW w:type="dxa" w:w="1728"/>
          </w:tcPr>
          <w:p>
            <w:r>
              <w:t>Fast food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geojson/pkg_atlanta_fast_food_restaurants.geojson</w:t>
            </w:r>
          </w:p>
        </w:tc>
        <w:tc>
          <w:tcPr>
            <w:tcW w:type="dxa" w:w="1728"/>
          </w:tcPr>
          <w:p>
            <w:r>
              <w:t>OpenStreetMap</w:t>
            </w:r>
          </w:p>
        </w:tc>
        <w:tc>
          <w:tcPr>
            <w:tcW w:type="dxa" w:w="1728"/>
          </w:tcPr>
          <w:p>
            <w:r>
              <w:t>March 2026</w:t>
            </w:r>
          </w:p>
        </w:tc>
        <w:tc>
          <w:tcPr>
            <w:tcW w:type="dxa" w:w="1728"/>
          </w:tcPr>
          <w:p>
            <w:r>
              <w:t>ODbL</w:t>
            </w:r>
          </w:p>
        </w:tc>
      </w:tr>
      <w:tr>
        <w:tc>
          <w:tcPr>
            <w:tcW w:type="dxa" w:w="1728"/>
          </w:tcPr>
          <w:p>
            <w:r>
              <w:t>Tract boundaries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  <w:shd w:val="clear" w:color="auto" w:fill="F0F0F0"/>
              </w:rPr>
              <w:t>geojson/census_tracts_tiger.geojson</w:t>
            </w:r>
          </w:p>
        </w:tc>
        <w:tc>
          <w:tcPr>
            <w:tcW w:type="dxa" w:w="1728"/>
          </w:tcPr>
          <w:p>
            <w:r>
              <w:t>US Census TIGER/Line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Methodology</w:t>
      </w:r>
    </w:p>
    <w:p>
      <w:r>
        <w:t>mRFEI = (healthy retailers) / (healthy + less-healthy retailers) × 100</w:t>
      </w:r>
    </w:p>
    <w:p>
      <w:pPr>
        <w:pStyle w:val="ListBullet"/>
      </w:pPr>
      <w:r>
        <w:rPr>
          <w:b/>
        </w:rPr>
        <w:t>Healthy</w:t>
      </w:r>
      <w:r>
        <w:t xml:space="preserve"> = supermarkets + farmers markets + grocery (Tier 1/2)</w:t>
      </w:r>
    </w:p>
    <w:p>
      <w:pPr>
        <w:pStyle w:val="ListBullet"/>
      </w:pPr>
      <w:r>
        <w:rPr>
          <w:b/>
        </w:rPr>
        <w:t>Less-healthy</w:t>
      </w:r>
      <w:r>
        <w:t xml:space="preserve"> = fast food + convenience + Tier 3 grocery</w:t>
      </w:r>
    </w:p>
    <w:p>
      <w:pPr>
        <w:pStyle w:val="ListBullet"/>
      </w:pPr>
      <w:r>
        <w:t>Computed per Census tract; tracts with &lt;3 total retailers reported as "low confidence"</w:t>
      </w:r>
    </w:p>
    <w:p>
      <w:pPr>
        <w:pStyle w:val="Heading2"/>
      </w:pPr>
      <w:r>
        <w:t>Caveats</w:t>
      </w:r>
    </w:p>
    <w:p>
      <w:pPr>
        <w:pStyle w:val="ListBullet"/>
      </w:pPr>
      <w:r>
        <w:t>mRFEI does not weight by store size, hours, or product mix</w:t>
      </w:r>
    </w:p>
    <w:p>
      <w:pPr>
        <w:pStyle w:val="ListBullet"/>
      </w:pPr>
      <w:r>
        <w:t>A 5,000 sqft supermarket counts equally with a 50,000 sqft Kroger</w:t>
      </w:r>
    </w:p>
    <w:p>
      <w:pPr>
        <w:pStyle w:val="ListBullet"/>
      </w:pPr>
      <w:r>
        <w:t>Farmers markets are seasonally biased; not all are open year-round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93F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93F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93F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93F4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