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1 — Legend Specification</w:t>
      </w:r>
    </w:p>
    <w:p>
      <w:pPr>
        <w:pStyle w:val="Heading2"/>
      </w:pPr>
      <w:r>
        <w:t>Title</w:t>
      </w:r>
    </w:p>
    <w:p>
      <w:r>
        <w:rPr>
          <w:b/>
        </w:rPr>
        <w:t>Food Retail Density (mRFEI)</w:t>
      </w:r>
      <w:r>
        <w:t xml:space="preserve"> — City of Atlanta, 2023 Source: CDC mRFEI · classified by I2CE Lab April 2026</w:t>
      </w:r>
    </w:p>
    <w:p>
      <w:pPr>
        <w:pStyle w:val="Heading2"/>
      </w:pPr>
      <w:r>
        <w:t>Classification — 5-class quantile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mRFEI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Color (hex)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Farbton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1 (lowest)</w:t>
            </w:r>
          </w:p>
        </w:tc>
        <w:tc>
          <w:tcPr>
            <w:tcW w:type="dxa" w:w="1728"/>
          </w:tcPr>
          <w:p>
            <w:r>
              <w:t>0–10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#d2dadf</w:t>
            </w:r>
          </w:p>
        </w:tc>
        <w:tc>
          <w:tcPr>
            <w:tcW w:type="dxa" w:w="1728"/>
          </w:tcPr>
          <w:p>
            <w:r>
              <w:t>Nr. 55 — lichtgrau</w:t>
            </w:r>
          </w:p>
        </w:tc>
        <w:tc>
          <w:tcPr>
            <w:tcW w:type="dxa" w:w="1728"/>
          </w:tcPr>
          <w:p>
            <w:r>
              <w:t>Healthy-food desert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10–20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#a4b1bc</w:t>
            </w:r>
          </w:p>
        </w:tc>
        <w:tc>
          <w:tcPr>
            <w:tcW w:type="dxa" w:w="1728"/>
          </w:tcPr>
          <w:p>
            <w:r>
              <w:t>Nr. 54</w:t>
            </w:r>
          </w:p>
        </w:tc>
        <w:tc>
          <w:tcPr>
            <w:tcW w:type="dxa" w:w="1728"/>
          </w:tcPr>
          <w:p>
            <w:r>
              <w:t>Limited healthy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20–35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#7d9caf</w:t>
            </w:r>
          </w:p>
        </w:tc>
        <w:tc>
          <w:tcPr>
            <w:tcW w:type="dxa" w:w="1728"/>
          </w:tcPr>
          <w:p>
            <w:r>
              <w:t>Nr. 57 — lichtblau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35–50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#1c5c84</w:t>
            </w:r>
          </w:p>
        </w:tc>
        <w:tc>
          <w:tcPr>
            <w:tcW w:type="dxa" w:w="1728"/>
          </w:tcPr>
          <w:p>
            <w:r>
              <w:t>Nr. 51 — spinellblau</w:t>
            </w:r>
          </w:p>
        </w:tc>
        <w:tc>
          <w:tcPr>
            <w:tcW w:type="dxa" w:w="1728"/>
          </w:tcPr>
          <w:p>
            <w:r>
              <w:t>Healthy-leaning</w:t>
            </w:r>
          </w:p>
        </w:tc>
      </w:tr>
      <w:tr>
        <w:tc>
          <w:tcPr>
            <w:tcW w:type="dxa" w:w="1728"/>
          </w:tcPr>
          <w:p>
            <w:r>
              <w:t>5 (highest)</w:t>
            </w:r>
          </w:p>
        </w:tc>
        <w:tc>
          <w:tcPr>
            <w:tcW w:type="dxa" w:w="1728"/>
          </w:tcPr>
          <w:p>
            <w:r>
              <w:t>50+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#3a4f5e</w:t>
            </w:r>
          </w:p>
        </w:tc>
        <w:tc>
          <w:tcPr>
            <w:tcW w:type="dxa" w:w="1728"/>
          </w:tcPr>
          <w:p>
            <w:r>
              <w:t>Nr. 50 — dunkelblau</w:t>
            </w:r>
          </w:p>
        </w:tc>
        <w:tc>
          <w:tcPr>
            <w:tcW w:type="dxa" w:w="1728"/>
          </w:tcPr>
          <w:p>
            <w:r>
              <w:t>Healthy-dominant</w:t>
            </w:r>
          </w:p>
        </w:tc>
      </w:tr>
      <w:tr>
        <w:tc>
          <w:tcPr>
            <w:tcW w:type="dxa" w:w="1728"/>
          </w:tcPr>
          <w:p>
            <w:r>
              <w:t>no data</w:t>
            </w:r>
          </w:p>
        </w:tc>
        <w:tc>
          <w:tcPr>
            <w:tcW w:type="dxa" w:w="1728"/>
          </w:tcPr>
          <w:p>
            <w:r>
              <w:t>&lt;3 retailers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#5b7282</w:t>
            </w:r>
            <w:r>
              <w:t xml:space="preserve"> 30%</w:t>
            </w:r>
          </w:p>
        </w:tc>
        <w:tc>
          <w:tcPr>
            <w:tcW w:type="dxa" w:w="1728"/>
          </w:tcPr>
          <w:p>
            <w:r>
              <w:t>Nr. 52</w:t>
            </w:r>
          </w:p>
        </w:tc>
        <w:tc>
          <w:tcPr>
            <w:tcW w:type="dxa" w:w="1728"/>
          </w:tcPr>
          <w:p>
            <w:r>
              <w:t>Low confidence</w:t>
            </w:r>
          </w:p>
        </w:tc>
      </w:tr>
    </w:tbl>
    <w:p/>
    <w:p>
      <w:pPr>
        <w:pStyle w:val="Heading2"/>
      </w:pPr>
      <w:r>
        <w:t>Symbology layers (draw order, bottom to top)</w:t>
      </w:r>
    </w:p>
    <w:p>
      <w:pPr>
        <w:pStyle w:val="ListNumber"/>
      </w:pPr>
      <w:r>
        <w:t>Census tracts polygon — Nr. 55 fill, Nr. 54 0.4px outline</w:t>
      </w:r>
    </w:p>
    <w:p>
      <w:pPr>
        <w:pStyle w:val="ListNumber"/>
      </w:pPr>
      <w:r>
        <w:t>mRFEI choropleth — 5-class quantile fill, no outline</w:t>
      </w:r>
    </w:p>
    <w:p>
      <w:pPr>
        <w:pStyle w:val="ListNumber"/>
      </w:pPr>
      <w:r>
        <w:t>MARTA rail lines — official MARTA colors, 1.5px (context only)</w:t>
      </w:r>
    </w:p>
    <w:p>
      <w:pPr>
        <w:pStyle w:val="ListNumber"/>
      </w:pPr>
      <w:r>
        <w:t>Tract centroids labeled with mRFEI value when zoomed in</w:t>
      </w:r>
    </w:p>
    <w:p>
      <w:pPr>
        <w:pStyle w:val="Heading2"/>
      </w:pPr>
      <w:r>
        <w:t>Auxiliary elements</w:t>
      </w:r>
    </w:p>
    <w:p>
      <w:pPr>
        <w:pStyle w:val="ListBullet"/>
      </w:pPr>
      <w:r>
        <w:rPr>
          <w:b/>
        </w:rPr>
        <w:t>North arrow:</w:t>
      </w:r>
      <w:r>
        <w:t xml:space="preserve"> simple chevron, top-right</w:t>
      </w:r>
    </w:p>
    <w:p>
      <w:pPr>
        <w:pStyle w:val="ListBullet"/>
      </w:pPr>
      <w:r>
        <w:rPr>
          <w:b/>
        </w:rPr>
        <w:t>Scale bar:</w:t>
      </w:r>
      <w:r>
        <w:t xml:space="preserve"> 0 — 1 — 2 miles</w:t>
      </w:r>
    </w:p>
    <w:p>
      <w:pPr>
        <w:pStyle w:val="ListBullet"/>
      </w:pPr>
      <w:r>
        <w:rPr>
          <w:b/>
        </w:rPr>
        <w:t>Inset:</w:t>
      </w:r>
      <w:r>
        <w:t xml:space="preserve"> 5-county metro context box, bottom-left</w:t>
      </w:r>
    </w:p>
    <w:p>
      <w:pPr>
        <w:pStyle w:val="ListBullet"/>
      </w:pPr>
      <w:r>
        <w:rPr>
          <w:b/>
        </w:rPr>
        <w:t>Source line:</w:t>
      </w:r>
      <w:r>
        <w:t xml:space="preserve"> "CDC mRFEI 2023 · USDA SNAP retailers · OSM. I2CE Lab April 2026."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