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 2 — Legend Specification</w:t>
      </w:r>
    </w:p>
    <w:p>
      <w:pPr>
        <w:pStyle w:val="Heading2"/>
      </w:pPr>
      <w:r>
        <w:t>Title</w:t>
      </w:r>
    </w:p>
    <w:p>
      <w:r>
        <w:rPr>
          <w:b/>
        </w:rPr>
        <w:t>Food Access Distance</w:t>
      </w:r>
      <w:r>
        <w:t xml:space="preserve"> — Network distance to nearest healthy retailer Source: I2CE Lab tract-level network analysis · April 2026</w:t>
      </w:r>
    </w:p>
    <w:p>
      <w:pPr>
        <w:pStyle w:val="Heading2"/>
      </w:pPr>
      <w:r>
        <w:t>Classification — diverging access gap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Distance to nearest healthy retailer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Color (hex)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Within 0.5 mi</w:t>
            </w:r>
          </w:p>
        </w:tc>
        <w:tc>
          <w:tcPr>
            <w:tcW w:type="dxa" w:w="2160"/>
          </w:tcPr>
          <w:p>
            <w:r>
              <w:t>≤0.5 mi network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#3a4f5e</w:t>
            </w:r>
            <w:r>
              <w:t xml:space="preserve"> (Nr. 50)</w:t>
            </w:r>
          </w:p>
        </w:tc>
        <w:tc>
          <w:tcPr>
            <w:tcW w:type="dxa" w:w="2160"/>
          </w:tcPr>
          <w:p>
            <w:r>
              <w:t>High access</w:t>
            </w:r>
          </w:p>
        </w:tc>
      </w:tr>
      <w:tr>
        <w:tc>
          <w:tcPr>
            <w:tcW w:type="dxa" w:w="2160"/>
          </w:tcPr>
          <w:p>
            <w:r>
              <w:t>0.5–1.0 mi</w:t>
            </w:r>
          </w:p>
        </w:tc>
        <w:tc>
          <w:tcPr>
            <w:tcW w:type="dxa" w:w="2160"/>
          </w:tcPr>
          <w:p>
            <w:r>
              <w:t>0.5–1.0 mi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#1c5c84</w:t>
            </w:r>
            <w:r>
              <w:t xml:space="preserve"> (Nr. 51)</w:t>
            </w:r>
          </w:p>
        </w:tc>
        <w:tc>
          <w:tcPr>
            <w:tcW w:type="dxa" w:w="2160"/>
          </w:tcPr>
          <w:p>
            <w:r>
              <w:t>Adequate</w:t>
            </w:r>
          </w:p>
        </w:tc>
      </w:tr>
      <w:tr>
        <w:tc>
          <w:tcPr>
            <w:tcW w:type="dxa" w:w="2160"/>
          </w:tcPr>
          <w:p>
            <w:r>
              <w:t>1.0–1.5 mi</w:t>
            </w:r>
          </w:p>
        </w:tc>
        <w:tc>
          <w:tcPr>
            <w:tcW w:type="dxa" w:w="2160"/>
          </w:tcPr>
          <w:p>
            <w:r>
              <w:t>1.0–1.5 mi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#7d9caf</w:t>
            </w:r>
            <w:r>
              <w:t xml:space="preserve"> (Nr. 57)</w:t>
            </w:r>
          </w:p>
        </w:tc>
        <w:tc>
          <w:tcPr>
            <w:tcW w:type="dxa" w:w="2160"/>
          </w:tcPr>
          <w:p>
            <w:r>
              <w:t>Marginal</w:t>
            </w:r>
          </w:p>
        </w:tc>
      </w:tr>
      <w:tr>
        <w:tc>
          <w:tcPr>
            <w:tcW w:type="dxa" w:w="2160"/>
          </w:tcPr>
          <w:p>
            <w:r>
              <w:t>1.5–2.5 mi</w:t>
            </w:r>
          </w:p>
        </w:tc>
        <w:tc>
          <w:tcPr>
            <w:tcW w:type="dxa" w:w="2160"/>
          </w:tcPr>
          <w:p>
            <w:r>
              <w:t>1.5–2.5 mi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#a4b1bc</w:t>
            </w:r>
            <w:r>
              <w:t xml:space="preserve"> (Nr. 54)</w:t>
            </w:r>
          </w:p>
        </w:tc>
        <w:tc>
          <w:tcPr>
            <w:tcW w:type="dxa" w:w="2160"/>
          </w:tcPr>
          <w:p>
            <w:r>
              <w:t>Low access</w:t>
            </w:r>
          </w:p>
        </w:tc>
      </w:tr>
      <w:tr>
        <w:tc>
          <w:tcPr>
            <w:tcW w:type="dxa" w:w="2160"/>
          </w:tcPr>
          <w:p>
            <w:r>
              <w:t>&gt;2.5 mi</w:t>
            </w:r>
          </w:p>
        </w:tc>
        <w:tc>
          <w:tcPr>
            <w:tcW w:type="dxa" w:w="2160"/>
          </w:tcPr>
          <w:p>
            <w:r>
              <w:t>&gt;2.5 mi network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#c62828</w:t>
            </w:r>
            <w:r>
              <w:t xml:space="preserve"> (alert red)</w:t>
            </w:r>
          </w:p>
        </w:tc>
        <w:tc>
          <w:tcPr>
            <w:tcW w:type="dxa" w:w="2160"/>
          </w:tcPr>
          <w:p>
            <w:r>
              <w:t>Food desert risk</w:t>
            </w:r>
          </w:p>
        </w:tc>
      </w:tr>
    </w:tbl>
    <w:p/>
    <w:p>
      <w:pPr>
        <w:pStyle w:val="Heading2"/>
      </w:pPr>
      <w:r>
        <w:t>Symbology layers (draw order, bottom to top)</w:t>
      </w:r>
    </w:p>
    <w:p>
      <w:pPr>
        <w:pStyle w:val="ListNumber"/>
      </w:pPr>
      <w:r>
        <w:t>Census tracts — classified by distance class</w:t>
      </w:r>
    </w:p>
    <w:p>
      <w:pPr>
        <w:pStyle w:val="ListNumber"/>
      </w:pPr>
      <w:r>
        <w:t>USDA Food Desert overlay — hatch pattern, 25% opacity (comparative reference)</w:t>
      </w:r>
    </w:p>
    <w:p>
      <w:pPr>
        <w:pStyle w:val="ListNumber"/>
      </w:pPr>
      <w:r>
        <w:t>Healthy-food 1-mile buffer — translucent fill, Nr. 57 with 18% opacity</w:t>
      </w:r>
    </w:p>
    <w:p>
      <w:pPr>
        <w:pStyle w:val="ListNumber"/>
      </w:pPr>
      <w:r>
        <w:t>Grocery stores (Tier 1+2) — Nr. 51 solid dots with white halo (size 9, outline 1.2px)</w:t>
      </w:r>
    </w:p>
    <w:p>
      <w:pPr>
        <w:pStyle w:val="ListNumber"/>
      </w:pPr>
      <w:r>
        <w:t>Major roads — Nr. 54 1px (context)</w:t>
      </w:r>
    </w:p>
    <w:p>
      <w:pPr>
        <w:pStyle w:val="Heading2"/>
      </w:pPr>
      <w:r>
        <w:t>Auxiliary elements</w:t>
      </w:r>
    </w:p>
    <w:p>
      <w:pPr>
        <w:pStyle w:val="ListBullet"/>
      </w:pPr>
      <w:r>
        <w:rPr>
          <w:b/>
        </w:rPr>
        <w:t>Inset:</w:t>
      </w:r>
      <w:r>
        <w:t xml:space="preserve"> GT campus close-up showing 5-min walk circles from dining halls</w:t>
      </w:r>
    </w:p>
    <w:p>
      <w:pPr>
        <w:pStyle w:val="ListBullet"/>
      </w:pPr>
      <w:r>
        <w:rPr>
          <w:b/>
        </w:rPr>
        <w:t>Annotation:</w:t>
      </w:r>
      <w:r>
        <w:t xml:space="preserve"> Call out West End / English Avenue food desert zones with leader line</w:t>
      </w:r>
    </w:p>
    <w:p>
      <w:pPr>
        <w:pStyle w:val="ListBullet"/>
      </w:pPr>
      <w:r>
        <w:rPr>
          <w:b/>
        </w:rPr>
        <w:t>Source line:</w:t>
      </w:r>
      <w:r>
        <w:t xml:space="preserve"> "Network distance via pgRouting + OSM. USDA 2019 overlay. I2CE Lab April 2026."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