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Map 3 — Transport Accessibility</w:t>
      </w:r>
    </w:p>
    <w:p>
      <w:pPr>
        <w:pStyle w:val="Heading2"/>
      </w:pPr>
      <w:r>
        <w:t>Sources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1728"/>
          </w:tcPr>
          <w:p>
            <w:r>
              <w:rPr>
                <w:b/>
              </w:rPr>
              <w:t>File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Source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Date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License</w:t>
            </w:r>
          </w:p>
        </w:tc>
      </w:tr>
      <w:tr>
        <w:tc>
          <w:tcPr>
            <w:tcW w:type="dxa" w:w="1728"/>
          </w:tcPr>
          <w:p>
            <w:r>
              <w:t>MARTA stops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20"/>
                <w:shd w:val="clear" w:color="auto" w:fill="F0F0F0"/>
              </w:rPr>
              <w:t>geojson/marta_stops_atl.geojson</w:t>
            </w:r>
          </w:p>
        </w:tc>
        <w:tc>
          <w:tcPr>
            <w:tcW w:type="dxa" w:w="1728"/>
          </w:tcPr>
          <w:p>
            <w:r>
              <w:t>MARTA GTFS (rail stations only via def. expression)</w:t>
            </w:r>
          </w:p>
        </w:tc>
        <w:tc>
          <w:tcPr>
            <w:tcW w:type="dxa" w:w="1728"/>
          </w:tcPr>
          <w:p>
            <w:r>
              <w:t>2025</w:t>
            </w:r>
          </w:p>
        </w:tc>
        <w:tc>
          <w:tcPr>
            <w:tcW w:type="dxa" w:w="1728"/>
          </w:tcPr>
          <w:p>
            <w:r>
              <w:t>Public (MARTA)</w:t>
            </w:r>
          </w:p>
        </w:tc>
      </w:tr>
      <w:tr>
        <w:tc>
          <w:tcPr>
            <w:tcW w:type="dxa" w:w="1728"/>
          </w:tcPr>
          <w:p>
            <w:r>
              <w:t>MARTA bus routes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20"/>
                <w:shd w:val="clear" w:color="auto" w:fill="F0F0F0"/>
              </w:rPr>
              <w:t>geojson/atl_pro_marta_bus_routes.geojson</w:t>
            </w:r>
          </w:p>
        </w:tc>
        <w:tc>
          <w:tcPr>
            <w:tcW w:type="dxa" w:w="1728"/>
          </w:tcPr>
          <w:p>
            <w:r>
              <w:t>MARTA GTFS (routes 1/3)</w:t>
            </w:r>
          </w:p>
        </w:tc>
        <w:tc>
          <w:tcPr>
            <w:tcW w:type="dxa" w:w="1728"/>
          </w:tcPr>
          <w:p>
            <w:r>
              <w:t>2025</w:t>
            </w:r>
          </w:p>
        </w:tc>
        <w:tc>
          <w:tcPr>
            <w:tcW w:type="dxa" w:w="1728"/>
          </w:tcPr>
          <w:p>
            <w:r>
              <w:t>Public</w:t>
            </w:r>
          </w:p>
        </w:tc>
      </w:tr>
      <w:tr>
        <w:tc>
          <w:tcPr>
            <w:tcW w:type="dxa" w:w="1728"/>
          </w:tcPr>
          <w:p>
            <w:r>
              <w:t>MARTA rail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20"/>
                <w:shd w:val="clear" w:color="auto" w:fill="F0F0F0"/>
              </w:rPr>
              <w:t>geojson/marta_routes_atl.geojson</w:t>
            </w:r>
          </w:p>
        </w:tc>
        <w:tc>
          <w:tcPr>
            <w:tcW w:type="dxa" w:w="1728"/>
          </w:tcPr>
          <w:p>
            <w:r>
              <w:t>MARTA GTFS rail with route_color</w:t>
            </w:r>
          </w:p>
        </w:tc>
        <w:tc>
          <w:tcPr>
            <w:tcW w:type="dxa" w:w="1728"/>
          </w:tcPr>
          <w:p>
            <w:r>
              <w:t>2025</w:t>
            </w:r>
          </w:p>
        </w:tc>
        <w:tc>
          <w:tcPr>
            <w:tcW w:type="dxa" w:w="1728"/>
          </w:tcPr>
          <w:p>
            <w:r>
              <w:t>Public</w:t>
            </w:r>
          </w:p>
        </w:tc>
      </w:tr>
      <w:tr>
        <w:tc>
          <w:tcPr>
            <w:tcW w:type="dxa" w:w="1728"/>
          </w:tcPr>
          <w:p>
            <w:r>
              <w:t>Walksheds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20"/>
                <w:shd w:val="clear" w:color="auto" w:fill="F0F0F0"/>
              </w:rPr>
              <w:t>geojson/map3_transport_accessibility.geojson</w:t>
            </w:r>
          </w:p>
        </w:tc>
        <w:tc>
          <w:tcPr>
            <w:tcW w:type="dxa" w:w="1728"/>
          </w:tcPr>
          <w:p>
            <w:r>
              <w:t>Computed isochrones (OSRM)</w:t>
            </w:r>
          </w:p>
        </w:tc>
        <w:tc>
          <w:tcPr>
            <w:tcW w:type="dxa" w:w="1728"/>
          </w:tcPr>
          <w:p>
            <w:r>
              <w:t>March 2026</w:t>
            </w:r>
          </w:p>
        </w:tc>
        <w:tc>
          <w:tcPr>
            <w:tcW w:type="dxa" w:w="1728"/>
          </w:tcPr>
          <w:p>
            <w:r>
              <w:t>Derived</w:t>
            </w:r>
          </w:p>
        </w:tc>
      </w:tr>
      <w:tr>
        <w:tc>
          <w:tcPr>
            <w:tcW w:type="dxa" w:w="1728"/>
          </w:tcPr>
          <w:p>
            <w:r>
              <w:t>Street centerlines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20"/>
                <w:shd w:val="clear" w:color="auto" w:fill="F0F0F0"/>
              </w:rPr>
              <w:t>geojson/street_centerlines.geojson</w:t>
            </w:r>
          </w:p>
        </w:tc>
        <w:tc>
          <w:tcPr>
            <w:tcW w:type="dxa" w:w="1728"/>
          </w:tcPr>
          <w:p>
            <w:r>
              <w:t>City of Atlanta DPCD</w:t>
            </w:r>
          </w:p>
        </w:tc>
        <w:tc>
          <w:tcPr>
            <w:tcW w:type="dxa" w:w="1728"/>
          </w:tcPr>
          <w:p>
            <w:r>
              <w:t>2024</w:t>
            </w:r>
          </w:p>
        </w:tc>
        <w:tc>
          <w:tcPr>
            <w:tcW w:type="dxa" w:w="1728"/>
          </w:tcPr>
          <w:p>
            <w:r>
              <w:t>Public</w:t>
            </w:r>
          </w:p>
        </w:tc>
      </w:tr>
      <w:tr>
        <w:tc>
          <w:tcPr>
            <w:tcW w:type="dxa" w:w="1728"/>
          </w:tcPr>
          <w:p>
            <w:r>
              <w:t>Vehicle availability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20"/>
                <w:shd w:val="clear" w:color="auto" w:fill="F0F0F0"/>
              </w:rPr>
              <w:t>geojson/census_vehicle_availability_ga.geojson</w:t>
            </w:r>
          </w:p>
        </w:tc>
        <w:tc>
          <w:tcPr>
            <w:tcW w:type="dxa" w:w="1728"/>
          </w:tcPr>
          <w:p>
            <w:r>
              <w:t>ACS 5-year B08201</w:t>
            </w:r>
          </w:p>
        </w:tc>
        <w:tc>
          <w:tcPr>
            <w:tcW w:type="dxa" w:w="1728"/>
          </w:tcPr>
          <w:p>
            <w:r>
              <w:t>2022</w:t>
            </w:r>
          </w:p>
        </w:tc>
        <w:tc>
          <w:tcPr>
            <w:tcW w:type="dxa" w:w="1728"/>
          </w:tcPr>
          <w:p>
            <w:r>
              <w:t>Public</w:t>
            </w:r>
          </w:p>
        </w:tc>
      </w:tr>
    </w:tbl>
    <w:p/>
    <w:p>
      <w:pPr>
        <w:pStyle w:val="Heading2"/>
      </w:pPr>
      <w:r>
        <w:t>Methodology</w:t>
      </w:r>
    </w:p>
    <w:p>
      <w:pPr>
        <w:pStyle w:val="ListBullet"/>
      </w:pPr>
      <w:r>
        <w:t>5-min / 10-min / 15-min walking isochrones from every MARTA rail station and major bus stop</w:t>
      </w:r>
    </w:p>
    <w:p>
      <w:pPr>
        <w:pStyle w:val="ListBullet"/>
      </w:pPr>
      <w:r>
        <w:t>Routed on OSM pedestrian network via OSRM</w:t>
      </w:r>
    </w:p>
    <w:p>
      <w:pPr>
        <w:pStyle w:val="ListBullet"/>
      </w:pPr>
      <w:r>
        <w:t>Tract-level vehicle availability overlay (% households with zero vehicles) to flag transit-dependent areas</w:t>
      </w:r>
    </w:p>
    <w:p>
      <w:pPr>
        <w:pStyle w:val="Heading2"/>
      </w:pPr>
      <w:r>
        <w:t>Caveats</w:t>
      </w:r>
    </w:p>
    <w:p>
      <w:pPr>
        <w:pStyle w:val="ListBullet"/>
      </w:pPr>
      <w:r>
        <w:t>Isochrones assume 3 mph constant walking speed (no slope, no waiting time, no transfer)</w:t>
      </w:r>
    </w:p>
    <w:p>
      <w:pPr>
        <w:pStyle w:val="ListBullet"/>
      </w:pPr>
      <w:r>
        <w:t>Bus frequency is not represented — a 5-min walk to a once-an-hour bus is functionally different from a 5-min walk to a 5-min-frequency train</w:t>
      </w:r>
    </w:p>
    <w:p>
      <w:pPr>
        <w:pStyle w:val="ListBullet"/>
      </w:pPr>
      <w:r>
        <w:t>Wheelchair / mobility accessibility not modeled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93F44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393F44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393F4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393F4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