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3 — Legend Specification</w:t>
      </w:r>
    </w:p>
    <w:p>
      <w:pPr>
        <w:pStyle w:val="Heading2"/>
      </w:pPr>
      <w:r>
        <w:t>Title</w:t>
      </w:r>
    </w:p>
    <w:p>
      <w:r>
        <w:rPr>
          <w:b/>
        </w:rPr>
        <w:t>Transport Accessibility</w:t>
      </w:r>
      <w:r>
        <w:t xml:space="preserve"> — Walking access to MARTA rail + bus Source: MARTA GTFS · OSRM isochrones · I2CE Lab April 2026</w:t>
      </w:r>
    </w:p>
    <w:p>
      <w:pPr>
        <w:pStyle w:val="Heading2"/>
      </w:pPr>
      <w:r>
        <w:t>Classification — sequential walkshed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Walk time to MARTA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 (hex)</w:t>
            </w:r>
          </w:p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≤5 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#1c5c84</w:t>
            </w:r>
            <w:r>
              <w:t xml:space="preserve"> (Nr. 51) — 60% fill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5–10 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#7d9caf</w:t>
            </w:r>
            <w:r>
              <w:t xml:space="preserve"> (Nr. 57) — 50% fill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10–15 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#a4b1bc</w:t>
            </w:r>
            <w:r>
              <w:t xml:space="preserve"> (Nr. 54) — 40% fill</w:t>
            </w:r>
          </w:p>
        </w:tc>
      </w:tr>
      <w:tr>
        <w:tc>
          <w:tcPr>
            <w:tcW w:type="dxa" w:w="2880"/>
          </w:tcPr>
          <w:p>
            <w:r>
              <w:t>Outside walkshed</w:t>
            </w:r>
          </w:p>
        </w:tc>
        <w:tc>
          <w:tcPr>
            <w:tcW w:type="dxa" w:w="2880"/>
          </w:tcPr>
          <w:p>
            <w:r>
              <w:t>&gt;15 min</w:t>
            </w:r>
          </w:p>
        </w:tc>
        <w:tc>
          <w:tcPr>
            <w:tcW w:type="dxa" w:w="2880"/>
          </w:tcPr>
          <w:p>
            <w:r>
              <w:t>no fill</w:t>
            </w:r>
          </w:p>
        </w:tc>
      </w:tr>
    </w:tbl>
    <w:p/>
    <w:p>
      <w:pPr>
        <w:pStyle w:val="Heading2"/>
      </w:pPr>
      <w:r>
        <w:t>Vehicle-availability overlay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% zero-vehicle HH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Hatch pattern</w:t>
            </w:r>
          </w:p>
        </w:tc>
      </w:tr>
      <w:tr>
        <w:tc>
          <w:tcPr>
            <w:tcW w:type="dxa" w:w="4320"/>
          </w:tcPr>
          <w:p>
            <w:r>
              <w:t>&lt;10%</w:t>
            </w:r>
          </w:p>
        </w:tc>
        <w:tc>
          <w:tcPr>
            <w:tcW w:type="dxa" w:w="4320"/>
          </w:tcPr>
          <w:p>
            <w:r>
              <w:t>no hatch</w:t>
            </w:r>
          </w:p>
        </w:tc>
      </w:tr>
      <w:tr>
        <w:tc>
          <w:tcPr>
            <w:tcW w:type="dxa" w:w="4320"/>
          </w:tcPr>
          <w:p>
            <w:r>
              <w:t>10–20%</w:t>
            </w:r>
          </w:p>
        </w:tc>
        <w:tc>
          <w:tcPr>
            <w:tcW w:type="dxa" w:w="4320"/>
          </w:tcPr>
          <w:p>
            <w:r>
              <w:t>sparse diagonal Nr. 52</w:t>
            </w:r>
          </w:p>
        </w:tc>
      </w:tr>
      <w:tr>
        <w:tc>
          <w:tcPr>
            <w:tcW w:type="dxa" w:w="4320"/>
          </w:tcPr>
          <w:p>
            <w:r>
              <w:t>&gt;20%</w:t>
            </w:r>
          </w:p>
        </w:tc>
        <w:tc>
          <w:tcPr>
            <w:tcW w:type="dxa" w:w="4320"/>
          </w:tcPr>
          <w:p>
            <w:r>
              <w:t xml:space="preserve">dense diagonal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#c62828</w:t>
            </w:r>
            <w:r>
              <w:t xml:space="preserve"> (alert) — transit-dependent + low access = priority zones</w:t>
            </w:r>
          </w:p>
        </w:tc>
      </w:tr>
    </w:tbl>
    <w:p/>
    <w:p>
      <w:pPr>
        <w:pStyle w:val="Heading2"/>
      </w:pPr>
      <w:r>
        <w:t>Symbology layers (draw order, bottom to top)</w:t>
      </w:r>
    </w:p>
    <w:p>
      <w:pPr>
        <w:pStyle w:val="ListNumber"/>
      </w:pPr>
      <w:r>
        <w:t>Tracts colored by % zero-vehicle households (light Nr. 55 → Nr. 50)</w:t>
      </w:r>
    </w:p>
    <w:p>
      <w:pPr>
        <w:pStyle w:val="ListNumber"/>
      </w:pPr>
      <w:r>
        <w:t>15/10/5 min walkshed buffers — stacked translucent fills</w:t>
      </w:r>
    </w:p>
    <w:p>
      <w:pPr>
        <w:pStyle w:val="ListNumber"/>
      </w:pPr>
      <w:r>
        <w:t xml:space="preserve">MARTA bus routes — </w:t>
      </w:r>
      <w:r>
        <w:rPr>
          <w:rFonts w:ascii="Consolas" w:hAnsi="Consolas"/>
          <w:sz w:val="20"/>
          <w:shd w:val="clear" w:color="auto" w:fill="F0F0F0"/>
        </w:rPr>
        <w:t>#5b7282</w:t>
      </w:r>
      <w:r>
        <w:t xml:space="preserve"> (Nr. 52) 1px solid</w:t>
      </w:r>
    </w:p>
    <w:p>
      <w:pPr>
        <w:pStyle w:val="ListNumber"/>
      </w:pPr>
      <w:r>
        <w:t xml:space="preserve">MARTA rail — official line colors (Red </w:t>
      </w:r>
      <w:r>
        <w:rPr>
          <w:rFonts w:ascii="Consolas" w:hAnsi="Consolas"/>
          <w:sz w:val="20"/>
          <w:shd w:val="clear" w:color="auto" w:fill="F0F0F0"/>
        </w:rPr>
        <w:t>#E51937</w:t>
      </w:r>
      <w:r>
        <w:t xml:space="preserve">, Gold </w:t>
      </w:r>
      <w:r>
        <w:rPr>
          <w:rFonts w:ascii="Consolas" w:hAnsi="Consolas"/>
          <w:sz w:val="20"/>
          <w:shd w:val="clear" w:color="auto" w:fill="F0F0F0"/>
        </w:rPr>
        <w:t>#FFC72C</w:t>
      </w:r>
      <w:r>
        <w:t xml:space="preserve">, Blue </w:t>
      </w:r>
      <w:r>
        <w:rPr>
          <w:rFonts w:ascii="Consolas" w:hAnsi="Consolas"/>
          <w:sz w:val="20"/>
          <w:shd w:val="clear" w:color="auto" w:fill="F0F0F0"/>
        </w:rPr>
        <w:t>#0072CE</w:t>
      </w:r>
      <w:r>
        <w:t xml:space="preserve">, Green </w:t>
      </w:r>
      <w:r>
        <w:rPr>
          <w:rFonts w:ascii="Consolas" w:hAnsi="Consolas"/>
          <w:sz w:val="20"/>
          <w:shd w:val="clear" w:color="auto" w:fill="F0F0F0"/>
        </w:rPr>
        <w:t>#00A551</w:t>
      </w:r>
      <w:r>
        <w:t>) at 4.5px</w:t>
      </w:r>
    </w:p>
    <w:p>
      <w:pPr>
        <w:pStyle w:val="ListNumber"/>
      </w:pPr>
      <w:r>
        <w:t xml:space="preserve">MARTA rail stations — white </w:t>
      </w:r>
      <w:r>
        <w:rPr>
          <w:rFonts w:ascii="Consolas" w:hAnsi="Consolas"/>
          <w:sz w:val="20"/>
          <w:shd w:val="clear" w:color="auto" w:fill="F0F0F0"/>
        </w:rPr>
        <w:t>#fff</w:t>
      </w:r>
      <w:r>
        <w:t xml:space="preserve"> 8px dot + 2px dark outline</w:t>
      </w:r>
    </w:p>
    <w:p>
      <w:pPr>
        <w:pStyle w:val="Heading2"/>
      </w:pPr>
      <w:r>
        <w:t>Auxiliary elements</w:t>
      </w:r>
    </w:p>
    <w:p>
      <w:pPr>
        <w:pStyle w:val="ListBullet"/>
      </w:pPr>
      <w:r>
        <w:rPr>
          <w:b/>
        </w:rPr>
        <w:t>Annotation:</w:t>
      </w:r>
      <w:r>
        <w:t xml:space="preserve"> Label all 38 rail stations; major bus hubs (Five Points, H.E. Holmes, Lindbergh)</w:t>
      </w:r>
    </w:p>
    <w:p>
      <w:pPr>
        <w:pStyle w:val="ListBullet"/>
      </w:pPr>
      <w:r>
        <w:rPr>
          <w:b/>
        </w:rPr>
        <w:t>Source line:</w:t>
      </w:r>
      <w:r>
        <w:t xml:space="preserve"> "MARTA GTFS 2025. OSRM 3 mph isochrones. ACS B08201 2022."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