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4 — Composite Food System Vulnerability Index (M8)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 xml:space="preserve">This is the </w:t>
      </w:r>
      <w:r>
        <w:rPr>
          <w:b/>
          <w:i/>
        </w:rPr>
        <w:t>integrated risk map</w:t>
      </w:r>
      <w:r>
        <w:rPr>
          <w:i/>
        </w:rPr>
        <w:t xml:space="preserve"> that synthesizes M1–M7 into a single per-tract score. It is the capstone of Phase 2 of the AFCN project. The bivariate prototype (obesity × LILA) lives inside this map as one methodology step on the way to the full 7-indicator composite.</w:t>
      </w:r>
      <w:r>
        <w:rPr>
          <w:i/>
        </w:rPr>
      </w:r>
    </w:p>
    <w:p>
      <w:pPr>
        <w:pStyle w:val="Heading2"/>
      </w:pPr>
      <w:r>
        <w:t>Indicator stack (7 inputs → 1 composite)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Framework map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Poverty rate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data/census_acs_parsed.json</w:t>
            </w:r>
            <w:r>
              <w:t xml:space="preserve"> → tract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poverty_rate</w:t>
            </w:r>
            <w:r>
              <w:t xml:space="preserve"> (ACS S1701)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household income (inverse)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data/census_acs_parsed.json</w:t>
            </w:r>
            <w:r>
              <w:t xml:space="preserve"> → tract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median_income</w:t>
            </w:r>
            <w:r>
              <w:t xml:space="preserve"> (ACS B19013)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% households with no vehicle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geojson/census_vehicle_availability_ga.geojson</w:t>
            </w:r>
            <w:r>
              <w:t xml:space="preserve"> (ACS B08201)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SNAP participation rate</w:t>
            </w:r>
          </w:p>
        </w:tc>
        <w:tc>
          <w:tcPr>
            <w:tcW w:type="dxa" w:w="1728"/>
          </w:tcPr>
          <w:p>
            <w:r>
              <w:t>ACS S2201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S2201_C03_001E</w:t>
            </w:r>
            <w:r>
              <w:t>)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Distance to nearest healthy retailer (network mi)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geojson/grocery_access_distance.geojson</w:t>
            </w:r>
            <w:r>
              <w:t xml:space="preserve"> (Phase 2 derived)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Obesity crude prevalence</w:t>
            </w:r>
          </w:p>
        </w:tc>
        <w:tc>
          <w:tcPr>
            <w:tcW w:type="dxa" w:w="1728"/>
          </w:tcPr>
          <w:p>
            <w:r>
              <w:t>CDC PLACES 2024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OBESITY_CrudePrev</w:t>
            </w:r>
            <w:r>
              <w:t>)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Diabetes crude prevalence</w:t>
            </w:r>
          </w:p>
        </w:tc>
        <w:tc>
          <w:tcPr>
            <w:tcW w:type="dxa" w:w="1728"/>
          </w:tcPr>
          <w:p>
            <w:r>
              <w:t>CDC PLACES 2024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DIABETES_CrudePrev</w:t>
            </w:r>
            <w:r>
              <w:t>)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</w:tr>
    </w:tbl>
    <w:p/>
    <w:p>
      <w:r>
        <w:rPr>
          <w:b/>
        </w:rPr>
        <w:t>Composite score</w:t>
      </w:r>
      <w:r>
        <w:t xml:space="preserve"> = Σ (w</w:t>
      </w:r>
      <w:r>
        <w:rPr>
          <w:i/>
        </w:rPr>
        <w:t>i × z-score(indicator</w:t>
      </w:r>
      <w:r>
        <w:t>i)) → rescaled 0–100.</w:t>
      </w:r>
    </w:p>
    <w:p>
      <w:r>
        <w:t xml:space="preserve">Output: </w:t>
      </w:r>
      <w:r>
        <w:rPr>
          <w:rFonts w:ascii="Consolas" w:hAnsi="Consolas"/>
          <w:sz w:val="20"/>
          <w:shd w:val="clear" w:color="auto" w:fill="F0F0F0"/>
        </w:rPr>
        <w:t>geojson/food_insecurity_risk_index.geojson</w:t>
      </w:r>
      <w:r>
        <w:t xml:space="preserve"> (one polygon per Fulton + DeKalb tract; properties: </w:t>
      </w:r>
      <w:r>
        <w:rPr>
          <w:rFonts w:ascii="Consolas" w:hAnsi="Consolas"/>
          <w:sz w:val="20"/>
          <w:shd w:val="clear" w:color="auto" w:fill="F0F0F0"/>
        </w:rPr>
        <w:t>risk_score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quintile</w:t>
      </w:r>
      <w:r>
        <w:t>, indicator z-scores).</w:t>
      </w:r>
    </w:p>
    <w:p>
      <w:pPr>
        <w:pStyle w:val="Heading2"/>
      </w:pPr>
      <w:r>
        <w:t>Sources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1728"/>
          </w:tcPr>
          <w:p>
            <w:r>
              <w:t>Tract polygons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geojson/census_tracts_tiger.geojson</w:t>
            </w:r>
          </w:p>
        </w:tc>
        <w:tc>
          <w:tcPr>
            <w:tcW w:type="dxa" w:w="1728"/>
          </w:tcPr>
          <w:p>
            <w:r>
              <w:t>US Census TIGER/Line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ACS variables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data/census_acs_parsed.json</w:t>
            </w:r>
          </w:p>
        </w:tc>
        <w:tc>
          <w:tcPr>
            <w:tcW w:type="dxa" w:w="1728"/>
          </w:tcPr>
          <w:p>
            <w:r>
              <w:t>ACS 5-Year API (2018–2022)</w:t>
            </w:r>
          </w:p>
        </w:tc>
        <w:tc>
          <w:tcPr>
            <w:tcW w:type="dxa" w:w="1728"/>
          </w:tcPr>
          <w:p>
            <w:r>
              <w:t>2024 release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CDC PLACES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geojson/places_food_insecurity.geojson</w:t>
            </w:r>
            <w:r>
              <w:t xml:space="preserve"> + risk score</w:t>
            </w:r>
          </w:p>
        </w:tc>
        <w:tc>
          <w:tcPr>
            <w:tcW w:type="dxa" w:w="1728"/>
          </w:tcPr>
          <w:p>
            <w:r>
              <w:t>CDC PLACES 2024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Vehicle availability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geojson/census_vehicle_availability_ga.geojson</w:t>
            </w:r>
          </w:p>
        </w:tc>
        <w:tc>
          <w:tcPr>
            <w:tcW w:type="dxa" w:w="1728"/>
          </w:tcPr>
          <w:p>
            <w:r>
              <w:t>ACS B08201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Grocery distance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geojson/grocery_access_distance.geojson</w:t>
            </w:r>
          </w:p>
        </w:tc>
        <w:tc>
          <w:tcPr>
            <w:tcW w:type="dxa" w:w="1728"/>
          </w:tcPr>
          <w:p>
            <w:r>
              <w:t>Phase 2 (pgRouting + OSM)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  <w:tr>
        <w:tc>
          <w:tcPr>
            <w:tcW w:type="dxa" w:w="1728"/>
          </w:tcPr>
          <w:p>
            <w:r>
              <w:t>Food assistance supply (pantries)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atlanta_metro_food_pantry_full_metro(Master_Layer).csv</w:t>
            </w:r>
            <w:r>
              <w:t xml:space="preserve"> +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geojson/all_food_pantries_atl.geojson</w:t>
            </w:r>
          </w:p>
        </w:tc>
        <w:tc>
          <w:tcPr>
            <w:tcW w:type="dxa" w:w="1728"/>
          </w:tcPr>
          <w:p>
            <w:r>
              <w:t>ACFB + I2CE field survey</w:t>
            </w:r>
          </w:p>
        </w:tc>
        <w:tc>
          <w:tcPr>
            <w:tcW w:type="dxa" w:w="1728"/>
          </w:tcPr>
          <w:p>
            <w:r>
              <w:t>2025–2026</w:t>
            </w:r>
          </w:p>
        </w:tc>
        <w:tc>
          <w:tcPr>
            <w:tcW w:type="dxa" w:w="1728"/>
          </w:tcPr>
          <w:p>
            <w:r>
              <w:t>ACFB / I2CE</w:t>
            </w:r>
          </w:p>
        </w:tc>
      </w:tr>
      <w:tr>
        <w:tc>
          <w:tcPr>
            <w:tcW w:type="dxa" w:w="1728"/>
          </w:tcPr>
          <w:p>
            <w:r>
              <w:t>Health risk score (preprocessed)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geojson/atl_pro_health_risk_score.geojson</w:t>
            </w:r>
          </w:p>
        </w:tc>
        <w:tc>
          <w:tcPr>
            <w:tcW w:type="dxa" w:w="1728"/>
          </w:tcPr>
          <w:p>
            <w:r>
              <w:t>CDC PLACES → tract composite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</w:tbl>
    <w:p/>
    <w:p>
      <w:pPr>
        <w:pStyle w:val="Heading2"/>
      </w:pPr>
      <w:r>
        <w:t>Methodology summary</w:t>
      </w:r>
    </w:p>
    <w:p>
      <w:pPr>
        <w:pStyle w:val="ListNumber"/>
      </w:pPr>
      <w:r>
        <w:rPr>
          <w:b/>
        </w:rPr>
        <w:t>Standardize</w:t>
      </w:r>
      <w:r>
        <w:t xml:space="preserve"> each indicator → z-score within Fulton + DeKalb tract universe (mean 0, sd 1)</w:t>
      </w:r>
    </w:p>
    <w:p>
      <w:pPr>
        <w:pStyle w:val="ListNumber"/>
      </w:pPr>
      <w:r>
        <w:rPr>
          <w:b/>
        </w:rPr>
        <w:t>Invert</w:t>
      </w:r>
      <w:r>
        <w:t xml:space="preserve"> sign for protective indicators (income — higher income = lower vulnerability)</w:t>
      </w:r>
    </w:p>
    <w:p>
      <w:pPr>
        <w:pStyle w:val="ListNumber"/>
      </w:pPr>
      <w:r>
        <w:rPr>
          <w:b/>
        </w:rPr>
        <w:t>Weight</w:t>
      </w:r>
      <w:r>
        <w:t xml:space="preserve"> per the table above (weights informed by literature: USDA LILA + CDC SDOH framework)</w:t>
      </w:r>
    </w:p>
    <w:p>
      <w:pPr>
        <w:pStyle w:val="ListNumber"/>
      </w:pPr>
      <w:r>
        <w:rPr>
          <w:b/>
        </w:rPr>
        <w:t>Sum</w:t>
      </w:r>
      <w:r>
        <w:t xml:space="preserve"> weighted z-scores → raw composite</w:t>
      </w:r>
    </w:p>
    <w:p>
      <w:pPr>
        <w:pStyle w:val="ListNumber"/>
      </w:pPr>
      <w:r>
        <w:rPr>
          <w:b/>
        </w:rPr>
        <w:t>Rescale</w:t>
      </w:r>
      <w:r>
        <w:t xml:space="preserve"> to 0–100 via min-max within study area</w:t>
      </w:r>
    </w:p>
    <w:p>
      <w:pPr>
        <w:pStyle w:val="ListNumber"/>
      </w:pPr>
      <w:r>
        <w:rPr>
          <w:b/>
        </w:rPr>
        <w:t>Classify</w:t>
      </w:r>
      <w:r>
        <w:t xml:space="preserve"> into 5 quintiles for choropleth display</w:t>
      </w:r>
    </w:p>
    <w:p>
      <w:pPr>
        <w:pStyle w:val="ListNumber"/>
      </w:pPr>
      <w:r>
        <w:rPr>
          <w:b/>
        </w:rPr>
        <w:t>Overlay</w:t>
      </w:r>
      <w:r>
        <w:t xml:space="preserve"> pantry locations (food assistance supply) to visualize demand-vs-supply mismatch</w:t>
      </w:r>
    </w:p>
    <w:p>
      <w:pPr>
        <w:pStyle w:val="Heading2"/>
      </w:pPr>
      <w:r>
        <w:t>Bivariate prototype (kept as supplementary panel)</w:t>
      </w:r>
    </w:p>
    <w:p>
      <w:pPr>
        <w:pStyle w:val="ListBullet"/>
      </w:pPr>
      <w:r>
        <w:t xml:space="preserve">3×3 obesity (M7) × LILA (M2-derived) bivariate served as the </w:t>
      </w:r>
      <w:r>
        <w:rPr>
          <w:i/>
        </w:rPr>
        <w:t>methodological intuition</w:t>
      </w:r>
      <w:r>
        <w:t xml:space="preserve"> for M8</w:t>
      </w:r>
    </w:p>
    <w:p>
      <w:pPr>
        <w:pStyle w:val="ListBullet"/>
      </w:pPr>
      <w:r>
        <w:t xml:space="preserve">It is now an </w:t>
      </w:r>
      <w:r>
        <w:rPr>
          <w:b/>
        </w:rPr>
        <w:t>inset panel</w:t>
      </w:r>
      <w:r>
        <w:t xml:space="preserve"> in M8's layout, labeled "Bivariate prototype — single indicator pair"</w:t>
      </w:r>
    </w:p>
    <w:p>
      <w:pPr>
        <w:pStyle w:val="ListBullet"/>
      </w:pPr>
      <w:r>
        <w:t xml:space="preserve">Reading the inset before the main M8 map demonstrates </w:t>
      </w:r>
      <w:r>
        <w:rPr>
          <w:b/>
        </w:rPr>
        <w:t>how compression hides variation</w:t>
      </w:r>
      <w:r>
        <w:t xml:space="preserve"> — and why a 7-indicator composite is both more powerful and more dangerous than a 2-indicator one</w:t>
      </w:r>
    </w:p>
    <w:p>
      <w:pPr>
        <w:pStyle w:val="Heading2"/>
      </w:pPr>
      <w:r>
        <w:t>Caveats — IMPORTANT (see Critical Cartography for full discussion)</w:t>
      </w:r>
    </w:p>
    <w:p>
      <w:pPr>
        <w:pStyle w:val="ListBullet"/>
      </w:pPr>
      <w:r>
        <w:rPr>
          <w:b/>
        </w:rPr>
        <w:t>Weights are contestable.</w:t>
      </w:r>
      <w:r>
        <w:t xml:space="preserve"> A 0.20 weight on poverty is a </w:t>
      </w:r>
      <w:r>
        <w:rPr>
          <w:i/>
        </w:rPr>
        <w:t>political</w:t>
      </w:r>
      <w:r>
        <w:t xml:space="preserve"> claim that poverty matters more than diabetes prevalence (0.10). Sensitivity analysis (tornado chart) accompanies the legend.</w:t>
      </w:r>
    </w:p>
    <w:p>
      <w:pPr>
        <w:pStyle w:val="ListBullet"/>
      </w:pPr>
      <w:r>
        <w:rPr>
          <w:b/>
        </w:rPr>
        <w:t>Composite scores conceal which input is driving each tract's score.</w:t>
      </w:r>
      <w:r>
        <w:t xml:space="preserve"> A tract scoring 75 might be high-poverty + adequate-access OR low-poverty + extreme-access-distance — same number, different policy levers.</w:t>
      </w:r>
    </w:p>
    <w:p>
      <w:pPr>
        <w:pStyle w:val="ListBullet"/>
      </w:pPr>
      <w:r>
        <w:rPr>
          <w:b/>
        </w:rPr>
        <w:t>All inputs are tract-aggregated.</w:t>
      </w:r>
      <w:r>
        <w:t xml:space="preserve"> Individuals and households disappear into tract means.</w:t>
      </w:r>
    </w:p>
    <w:p>
      <w:pPr>
        <w:pStyle w:val="ListBullet"/>
      </w:pPr>
      <w:r>
        <w:rPr>
          <w:b/>
        </w:rPr>
        <w:t>CDC PLACES modeled estimates</w:t>
      </w:r>
      <w:r>
        <w:t xml:space="preserve"> (indicators 6 + 7) pull tract values toward statewide regression — high-confidence inputs (1, 2, 3) and low-confidence inputs (6, 7) are mixed without distinction.</w:t>
      </w:r>
    </w:p>
    <w:p>
      <w:pPr>
        <w:pStyle w:val="ListBullet"/>
      </w:pPr>
      <w:r>
        <w:rPr>
          <w:b/>
        </w:rPr>
        <w:t>Two-county scope</w:t>
      </w:r>
      <w:r>
        <w:t xml:space="preserve"> (Fulton + DeKalb): excludes Clayton, Cobb, Gwinnett — which contain growing food-insecure populations in the suburban inner 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