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4 — Legend Specification (M8 Composite Vulnerability)</w:t>
      </w:r>
    </w:p>
    <w:p>
      <w:pPr>
        <w:pStyle w:val="Heading2"/>
      </w:pPr>
      <w:r>
        <w:t>Title</w:t>
      </w:r>
    </w:p>
    <w:p>
      <w:r>
        <w:rPr>
          <w:b/>
        </w:rPr>
        <w:t>Composite Food System Vulnerability Index (M8)</w:t>
      </w:r>
      <w:r>
        <w:t xml:space="preserve"> — 7-indicator integrated risk score Source: ACS + CDC PLACES + pgRouting · I2CE Lab April 2026</w:t>
      </w:r>
    </w:p>
    <w:p>
      <w:pPr>
        <w:pStyle w:val="Heading2"/>
      </w:pPr>
      <w:r>
        <w:t>Primary classification — 5 quintiles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Quintile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score (0–100)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Color (hex)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Farbton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1728"/>
          </w:tcPr>
          <w:p>
            <w:r>
              <w:t>Q1 (lowest risk)</w:t>
            </w:r>
          </w:p>
        </w:tc>
        <w:tc>
          <w:tcPr>
            <w:tcW w:type="dxa" w:w="1728"/>
          </w:tcPr>
          <w:p>
            <w:r>
              <w:t>0–20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#d2dadf</w:t>
            </w:r>
          </w:p>
        </w:tc>
        <w:tc>
          <w:tcPr>
            <w:tcW w:type="dxa" w:w="1728"/>
          </w:tcPr>
          <w:p>
            <w:r>
              <w:t>Nr. 55</w:t>
            </w:r>
          </w:p>
        </w:tc>
        <w:tc>
          <w:tcPr>
            <w:tcW w:type="dxa" w:w="1728"/>
          </w:tcPr>
          <w:p>
            <w:r>
              <w:t>Resilient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20–40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#a4b1bc</w:t>
            </w:r>
          </w:p>
        </w:tc>
        <w:tc>
          <w:tcPr>
            <w:tcW w:type="dxa" w:w="1728"/>
          </w:tcPr>
          <w:p>
            <w:r>
              <w:t>Nr. 54</w:t>
            </w:r>
          </w:p>
        </w:tc>
        <w:tc>
          <w:tcPr>
            <w:tcW w:type="dxa" w:w="1728"/>
          </w:tcPr>
          <w:p>
            <w:r>
              <w:t>Watchful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40–60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#7d9caf</w:t>
            </w:r>
          </w:p>
        </w:tc>
        <w:tc>
          <w:tcPr>
            <w:tcW w:type="dxa" w:w="1728"/>
          </w:tcPr>
          <w:p>
            <w:r>
              <w:t>Nr. 57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60–80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#1c5c84</w:t>
            </w:r>
          </w:p>
        </w:tc>
        <w:tc>
          <w:tcPr>
            <w:tcW w:type="dxa" w:w="1728"/>
          </w:tcPr>
          <w:p>
            <w:r>
              <w:t>Nr. 51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Q5 (highest risk)</w:t>
            </w:r>
          </w:p>
        </w:tc>
        <w:tc>
          <w:tcPr>
            <w:tcW w:type="dxa" w:w="1728"/>
          </w:tcPr>
          <w:p>
            <w:r>
              <w:t>80–100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#3a4f5e</w:t>
            </w:r>
          </w:p>
        </w:tc>
        <w:tc>
          <w:tcPr>
            <w:tcW w:type="dxa" w:w="1728"/>
          </w:tcPr>
          <w:p>
            <w:r>
              <w:t>Nr. 50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Pantry supply overlay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Pantry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160"/>
          </w:tcPr>
          <w:p>
            <w:r>
              <w:t>ACFB distribution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#c62828</w:t>
            </w:r>
            <w:r>
              <w:t xml:space="preserve"> (alert red)</w:t>
            </w:r>
          </w:p>
        </w:tc>
        <w:tc>
          <w:tcPr>
            <w:tcW w:type="dxa" w:w="2160"/>
          </w:tcPr>
          <w:p>
            <w:r>
              <w:t>Square</w:t>
            </w:r>
          </w:p>
        </w:tc>
        <w:tc>
          <w:tcPr>
            <w:tcW w:type="dxa" w:w="2160"/>
          </w:tcPr>
          <w:p>
            <w:r>
              <w:t>10 px</w:t>
            </w:r>
          </w:p>
        </w:tc>
      </w:tr>
      <w:tr>
        <w:tc>
          <w:tcPr>
            <w:tcW w:type="dxa" w:w="2160"/>
          </w:tcPr>
          <w:p>
            <w:r>
              <w:t>Church / community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#7a958c</w:t>
            </w:r>
            <w:r>
              <w:t xml:space="preserve"> (Nr. 59)</w:t>
            </w:r>
          </w:p>
        </w:tc>
        <w:tc>
          <w:tcPr>
            <w:tcW w:type="dxa" w:w="2160"/>
          </w:tcPr>
          <w:p>
            <w:r>
              <w:t>Circle</w:t>
            </w:r>
          </w:p>
        </w:tc>
        <w:tc>
          <w:tcPr>
            <w:tcW w:type="dxa" w:w="2160"/>
          </w:tcPr>
          <w:p>
            <w:r>
              <w:t>7 px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#c4cdd2</w:t>
            </w:r>
            <w:r>
              <w:t xml:space="preserve"> (Nr. 56)</w:t>
            </w:r>
          </w:p>
        </w:tc>
        <w:tc>
          <w:tcPr>
            <w:tcW w:type="dxa" w:w="2160"/>
          </w:tcPr>
          <w:p>
            <w:r>
              <w:t>Diamond</w:t>
            </w:r>
          </w:p>
        </w:tc>
        <w:tc>
          <w:tcPr>
            <w:tcW w:type="dxa" w:w="2160"/>
          </w:tcPr>
          <w:p>
            <w:r>
              <w:t>8 px</w:t>
            </w:r>
          </w:p>
        </w:tc>
      </w:tr>
    </w:tbl>
    <w:p/>
    <w:p>
      <w:r>
        <w:rPr>
          <w:b/>
        </w:rPr>
        <w:t>White outline (1.2 px) on all pantry markers</w:t>
      </w:r>
      <w:r>
        <w:t xml:space="preserve"> for legibility on dark choropleth.</w:t>
      </w:r>
    </w:p>
    <w:p>
      <w:pPr>
        <w:pStyle w:val="Heading2"/>
      </w:pPr>
      <w:r>
        <w:t>Symbology layers (draw order, bottom to top)</w:t>
      </w:r>
    </w:p>
    <w:p>
      <w:pPr>
        <w:pStyle w:val="ListNumber"/>
      </w:pPr>
      <w:r>
        <w:t>Census tracts (Fulton + DeKalb) — vulnerability quintile fill</w:t>
      </w:r>
    </w:p>
    <w:p>
      <w:pPr>
        <w:pStyle w:val="ListNumber"/>
      </w:pPr>
      <w:r>
        <w:t xml:space="preserve">Tract outlines — 0.4 px, </w:t>
      </w:r>
      <w:r>
        <w:rPr>
          <w:rFonts w:ascii="Consolas" w:hAnsi="Consolas"/>
          <w:sz w:val="20"/>
          <w:shd w:val="clear" w:color="auto" w:fill="F0F0F0"/>
        </w:rPr>
        <w:t>#a4b1bc</w:t>
      </w:r>
      <w:r>
        <w:t xml:space="preserve"> (hairline)</w:t>
      </w:r>
    </w:p>
    <w:p>
      <w:pPr>
        <w:pStyle w:val="ListNumber"/>
      </w:pPr>
      <w:r>
        <w:t xml:space="preserve">Major roads / MARTA rail — </w:t>
      </w:r>
      <w:r>
        <w:rPr>
          <w:rFonts w:ascii="Consolas" w:hAnsi="Consolas"/>
          <w:sz w:val="20"/>
          <w:shd w:val="clear" w:color="auto" w:fill="F0F0F0"/>
        </w:rPr>
        <w:t>#5b7282</w:t>
      </w:r>
      <w:r>
        <w:t xml:space="preserve"> 1px (context only)</w:t>
      </w:r>
    </w:p>
    <w:p>
      <w:pPr>
        <w:pStyle w:val="ListNumber"/>
      </w:pPr>
      <w:r>
        <w:t>ACFB distribution points</w:t>
      </w:r>
    </w:p>
    <w:p>
      <w:pPr>
        <w:pStyle w:val="ListNumber"/>
      </w:pPr>
      <w:r>
        <w:t>Community / mobile pantries</w:t>
      </w:r>
    </w:p>
    <w:p>
      <w:pPr>
        <w:pStyle w:val="ListNumber"/>
      </w:pPr>
      <w:r>
        <w:t>Annotation labels (top-3 highest-scoring tracts called out by neighborhood name)</w:t>
      </w:r>
    </w:p>
    <w:p>
      <w:pPr>
        <w:pStyle w:val="Heading2"/>
      </w:pPr>
      <w:r>
        <w:t>Layout elements (the right side of the map)</w:t>
      </w:r>
    </w:p>
    <w:p>
      <w:pPr>
        <w:pStyle w:val="Heading3"/>
      </w:pPr>
      <w:r>
        <w:t>Inset 1 — Bivariate prototype (top right)</w:t>
      </w:r>
    </w:p>
    <w:p>
      <w:pPr>
        <w:pStyle w:val="ListBullet"/>
      </w:pPr>
      <w:r>
        <w:t>3×3 obesity × LILA grid as it appears in the dashboard</w:t>
      </w:r>
    </w:p>
    <w:p>
      <w:pPr>
        <w:pStyle w:val="ListBullet"/>
      </w:pPr>
      <w:r>
        <w:t>Labeled "Methodology step 1 of 7 — single indicator pair"</w:t>
      </w:r>
    </w:p>
    <w:p>
      <w:pPr>
        <w:pStyle w:val="ListBullet"/>
      </w:pPr>
      <w:r>
        <w:t xml:space="preserve">Reading order: this is the </w:t>
      </w:r>
      <w:r>
        <w:rPr>
          <w:i/>
        </w:rPr>
        <w:t>before</w:t>
      </w:r>
      <w:r>
        <w:t xml:space="preserve">; the main map is the </w:t>
      </w:r>
      <w:r>
        <w:rPr>
          <w:i/>
        </w:rPr>
        <w:t>after</w:t>
      </w:r>
    </w:p>
    <w:p>
      <w:pPr>
        <w:pStyle w:val="Heading3"/>
      </w:pPr>
      <w:r>
        <w:t>Inset 2 — Indicator tornado chart (middle right)</w:t>
      </w:r>
    </w:p>
    <w:p>
      <w:r>
        <w:t>Horizontal bars showing sensitivity of the composite score to ±10% perturbation of each weight: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Poverty            ████████████░░░░  ±4.2 score pts</w:t>
        <w:br/>
        <w:t>Vehicle access     █████████░░░░░░░  ±3.1</w:t>
        <w:br/>
        <w:t>Income (inverted)  █████████░░░░░░░  ±3.1</w:t>
        <w:br/>
        <w:t>Distance           █████████░░░░░░░  ±3.1</w:t>
        <w:br/>
        <w:t>Obesity            █████████░░░░░░░  ±3.1</w:t>
        <w:br/>
        <w:t>SNAP               ██████░░░░░░░░░░  ±2.0</w:t>
        <w:br/>
        <w:t>Diabetes           ██████░░░░░░░░░░  ±2.0</w:t>
      </w:r>
    </w:p>
    <w:p>
      <w:r>
        <w:t xml:space="preserve">Tells the reader: </w:t>
      </w:r>
      <w:r>
        <w:rPr>
          <w:i/>
        </w:rPr>
        <w:t>poverty weight dominates; alternative weightings are explored in the appendix</w:t>
      </w:r>
      <w:r>
        <w:t>.</w:t>
      </w:r>
    </w:p>
    <w:p>
      <w:pPr>
        <w:pStyle w:val="Heading3"/>
      </w:pPr>
      <w:r>
        <w:t>Inset 3 — Tract score breakdown (bottom right)</w:t>
      </w:r>
    </w:p>
    <w:p>
      <w:r>
        <w:t xml:space="preserve">For two contrast tracts (one Q5, one Q1), a stacked-bar showing how each of the 7 indicators contributes to the composite. Demonstrates that </w:t>
      </w:r>
      <w:r>
        <w:rPr>
          <w:b/>
        </w:rPr>
        <w:t>same score, different drivers</w:t>
      </w:r>
      <w:r>
        <w:t>.</w:t>
      </w:r>
    </w:p>
    <w:p>
      <w:pPr>
        <w:pStyle w:val="Heading2"/>
      </w:pPr>
      <w:r>
        <w:t>Auxiliary elements</w:t>
      </w:r>
    </w:p>
    <w:p>
      <w:pPr>
        <w:pStyle w:val="ListBullet"/>
      </w:pPr>
      <w:r>
        <w:rPr>
          <w:b/>
        </w:rPr>
        <w:t>North arrow + scale bar</w:t>
      </w:r>
    </w:p>
    <w:p>
      <w:pPr>
        <w:pStyle w:val="ListBullet"/>
      </w:pPr>
      <w:r>
        <w:rPr>
          <w:b/>
        </w:rPr>
        <w:t>Source line:</w:t>
      </w:r>
      <w:r>
        <w:t xml:space="preserve"> "ACS 5-Year 2018–22 · CDC PLACES 2024 · pgRouting/OSM Mar 2026 · I2CE Lab Phase 2"</w:t>
      </w:r>
    </w:p>
    <w:p>
      <w:pPr>
        <w:pStyle w:val="ListBullet"/>
      </w:pPr>
      <w:r>
        <w:rPr>
          <w:b/>
        </w:rPr>
        <w:t>Methodology footnote:</w:t>
      </w:r>
      <w:r>
        <w:t xml:space="preserve"> "Risk score = Σ wᵢ × zᵢ, rescaled 0–100. Weights derived from USDA LILA + CDC SDOH literature. See </w:t>
      </w:r>
      <w:r>
        <w:rPr>
          <w:rFonts w:ascii="Consolas" w:hAnsi="Consolas"/>
          <w:sz w:val="20"/>
          <w:shd w:val="clear" w:color="auto" w:fill="F0F0F0"/>
        </w:rPr>
        <w:t>data_sources.md</w:t>
      </w:r>
      <w:r>
        <w:t>."</w:t>
      </w:r>
    </w:p>
    <w:p>
      <w:pPr>
        <w:pStyle w:val="ListBullet"/>
      </w:pPr>
      <w:r>
        <w:rPr>
          <w:b/>
        </w:rPr>
        <w:t>Disclaimer footer:</w:t>
      </w:r>
      <w:r>
        <w:t xml:space="preserve"> "Composite indices are interpretive tools, not ground truth. See Critical Cartography review (§4) for the choices baked into this map."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