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1c — Spatial Analytics &amp; Critical Cartography</w:t>
      </w:r>
    </w:p>
    <w:p>
      <w:pPr>
        <w:pStyle w:val="Heading2"/>
      </w:pPr>
      <w:r>
        <w:t>Definitions and Relevance to AFCN</w:t>
      </w:r>
    </w:p>
    <w:p>
      <w:r>
        <w:rPr>
          <w:b/>
        </w:rPr>
        <w:t>ARCH 4017 · Quan Duong · Georgia Tech I2CE Lab · April 2026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Spatial Analytics — definition</w:t>
      </w:r>
    </w:p>
    <w:p>
      <w:r>
        <w:rPr>
          <w:b/>
        </w:rPr>
        <w:t>Spatial Analytics</w:t>
      </w:r>
      <w:r>
        <w:t xml:space="preserve"> is the family of computational methods that use the </w:t>
      </w:r>
      <w:r>
        <w:rPr>
          <w:i/>
        </w:rPr>
        <w:t>geographic location</w:t>
      </w:r>
      <w:r>
        <w:t xml:space="preserve"> of phenomena as a first-class analytical variable. Where ordinary statistics asks "what is the relationship between X and Y?", spatial analytics asks </w:t>
      </w:r>
      <w:r>
        <w:rPr>
          <w:b/>
        </w:rPr>
        <w:t>"what is the relationship between X and Y given where each occurs, and how does that relationship change across space?"</w:t>
      </w:r>
      <w:r>
        <w:t xml:space="preserve"> It combines:</w:t>
      </w:r>
    </w:p>
    <w:p>
      <w:pPr>
        <w:pStyle w:val="ListNumber"/>
      </w:pPr>
      <w:r>
        <w:rPr>
          <w:b/>
        </w:rPr>
        <w:t>Geometry operations</w:t>
      </w:r>
      <w:r>
        <w:t xml:space="preserve"> — points, lines, polygons; intersections, buffers, unions</w:t>
      </w:r>
    </w:p>
    <w:p>
      <w:pPr>
        <w:pStyle w:val="ListNumber"/>
      </w:pPr>
      <w:r>
        <w:rPr>
          <w:b/>
        </w:rPr>
        <w:t>Spatial joins</w:t>
      </w:r>
      <w:r>
        <w:t xml:space="preserve"> — attaching attributes from one layer to another by location</w:t>
      </w:r>
    </w:p>
    <w:p>
      <w:pPr>
        <w:pStyle w:val="ListNumber"/>
      </w:pPr>
      <w:r>
        <w:rPr>
          <w:b/>
        </w:rPr>
        <w:t>Network analysis</w:t>
      </w:r>
      <w:r>
        <w:t xml:space="preserve"> — shortest paths, isochrones, accessibility along road / transit graphs</w:t>
      </w:r>
    </w:p>
    <w:p>
      <w:pPr>
        <w:pStyle w:val="ListNumber"/>
      </w:pPr>
      <w:r>
        <w:rPr>
          <w:b/>
        </w:rPr>
        <w:t>Spatial statistics</w:t>
      </w:r>
      <w:r>
        <w:t xml:space="preserve"> — autocorrelation (Moran's I), hot-spot detection (Getis-Ord), classification (quantile, Jenks, equal-interval)</w:t>
      </w:r>
    </w:p>
    <w:p>
      <w:pPr>
        <w:pStyle w:val="ListNumber"/>
      </w:pPr>
      <w:r>
        <w:rPr>
          <w:b/>
        </w:rPr>
        <w:t>Composite indexing</w:t>
      </w:r>
      <w:r>
        <w:t xml:space="preserve"> — weighted synthesis of multiple indicators into a single per-place score (e.g. the M8 composite vulnerability index)</w:t>
      </w:r>
    </w:p>
    <w:p>
      <w:pPr>
        <w:pStyle w:val="ListNumber"/>
      </w:pPr>
      <w:r>
        <w:rPr>
          <w:b/>
        </w:rPr>
        <w:t>Cartographic communication</w:t>
      </w:r>
      <w:r>
        <w:t xml:space="preserve"> — choropleth, dot density, bivariate, flow, heatmap — translating quantitative results into legible visual claims</w:t>
      </w:r>
    </w:p>
    <w:p>
      <w:r>
        <w:t xml:space="preserve">Spatial analytics treats </w:t>
      </w:r>
      <w:r>
        <w:rPr>
          <w:i/>
        </w:rPr>
        <w:t>place</w:t>
      </w:r>
      <w:r>
        <w:t xml:space="preserve"> as both </w:t>
      </w:r>
      <w:r>
        <w:rPr>
          <w:b/>
        </w:rPr>
        <w:t>subject and method</w:t>
      </w:r>
      <w:r>
        <w:t>: a tract's score on poverty matters not in isolation but in relation to its neighbors, its transit access, its retail environment, and its position in the broader regional system.</w:t>
      </w:r>
    </w:p>
    <w:p>
      <w:pPr>
        <w:pStyle w:val="Heading2"/>
      </w:pPr>
      <w:r>
        <w:t>Critical Cartography — definition</w:t>
      </w:r>
    </w:p>
    <w:p>
      <w:r>
        <w:rPr>
          <w:b/>
        </w:rPr>
        <w:t>Critical Cartography</w:t>
      </w:r>
      <w:r>
        <w:t xml:space="preserve"> is a reflexive, political reading of maps and mapping practice. It rejects the modernist assumption that maps are neutral representations of reality. Drawing on Harley (1989), Wood (2010), Crampton (2010), and the participatory-GIS tradition, critical cartography insists that </w:t>
      </w:r>
      <w:r>
        <w:rPr>
          <w:b/>
        </w:rPr>
        <w:t>every map is an argument</w:t>
      </w:r>
      <w:r>
        <w:t xml:space="preserve"> about:</w:t>
      </w:r>
    </w:p>
    <w:p>
      <w:pPr>
        <w:pStyle w:val="ListBullet"/>
      </w:pPr>
      <w:r>
        <w:rPr>
          <w:b/>
        </w:rPr>
        <w:t>Who counts</w:t>
      </w:r>
      <w:r>
        <w:t xml:space="preserve"> as data (the included)</w:t>
      </w:r>
    </w:p>
    <w:p>
      <w:pPr>
        <w:pStyle w:val="ListBullet"/>
      </w:pPr>
      <w:r>
        <w:rPr>
          <w:b/>
        </w:rPr>
        <w:t>What is silenced</w:t>
      </w:r>
      <w:r>
        <w:t xml:space="preserve"> by being unmapped or aggregated away (the excluded)</w:t>
      </w:r>
    </w:p>
    <w:p>
      <w:pPr>
        <w:pStyle w:val="ListBullet"/>
      </w:pPr>
      <w:r>
        <w:rPr>
          <w:b/>
        </w:rPr>
        <w:t>Whose categories</w:t>
      </w:r>
      <w:r>
        <w:t xml:space="preserve"> organize the legend (administrative vs. lived)</w:t>
      </w:r>
    </w:p>
    <w:p>
      <w:pPr>
        <w:pStyle w:val="ListBullet"/>
      </w:pPr>
      <w:r>
        <w:rPr>
          <w:b/>
        </w:rPr>
        <w:t>Whose authority</w:t>
      </w:r>
      <w:r>
        <w:t xml:space="preserve"> the map performs (state, university, community)</w:t>
      </w:r>
    </w:p>
    <w:p>
      <w:pPr>
        <w:pStyle w:val="ListBullet"/>
      </w:pPr>
      <w:r>
        <w:rPr>
          <w:b/>
        </w:rPr>
        <w:t>What political work</w:t>
      </w:r>
      <w:r>
        <w:t xml:space="preserve"> the visual choices do (which colors signal "alarm" vs. "normal," which boundaries are rendered, which scales privilege which actors)</w:t>
      </w:r>
    </w:p>
    <w:p>
      <w:r>
        <w:t xml:space="preserve">Critical cartography is not opposed to making maps. It is opposed to making maps </w:t>
      </w:r>
      <w:r>
        <w:rPr>
          <w:i/>
        </w:rPr>
        <w:t>uncritically</w:t>
      </w:r>
      <w:r>
        <w:t xml:space="preserve">. A critical cartographer maps as carefully and rigorously as a spatial analyst, but also documents the choices, exposes the silences, and </w:t>
      </w:r>
      <w:r>
        <w:rPr>
          <w:b/>
        </w:rPr>
        <w:t>invites contestation</w:t>
      </w:r>
      <w:r>
        <w:t xml:space="preserve"> rather than asserting closure.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both matter together — and to AFCN specifically</w:t>
      </w:r>
    </w:p>
    <w:p>
      <w:r>
        <w:t xml:space="preserve">The AFCN project cannot be done with only one of these. Spatial analytics without critical cartography produces </w:t>
      </w:r>
      <w:r>
        <w:rPr>
          <w:b/>
        </w:rPr>
        <w:t>technically impressive but politically naive</w:t>
      </w:r>
      <w:r>
        <w:t xml:space="preserve"> maps — the kind that confidently render a "food desert" without examining the colonial origins of that term, the federal threshold that defined it, or the informal economies the term erases. Critical cartography without spatial analytics produces </w:t>
      </w:r>
      <w:r>
        <w:rPr>
          <w:b/>
        </w:rPr>
        <w:t>politically sharp but operationally useless</w:t>
      </w:r>
      <w:r>
        <w:t xml:space="preserve"> critique — eloquent essays about whose data is silenced, with no tools that a food-rescue dispatcher can actually use on Monday morning.</w:t>
      </w:r>
    </w:p>
    <w:p>
      <w:r>
        <w:rPr>
          <w:b/>
        </w:rPr>
        <w:t>AFCN holds the two in productive tension: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AFCN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Spatial-analytics contribution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Critical-cartography contribution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 maps (Map 1–5 / M1, M2, M3, M5, M8)</w:t>
            </w:r>
          </w:p>
        </w:tc>
        <w:tc>
          <w:tcPr>
            <w:tcW w:type="dxa" w:w="2880"/>
          </w:tcPr>
          <w:p>
            <w:r>
              <w:t>Quantile choropleths, network distance, walkshed isochrones, bivariate composite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critical_review.md</w:t>
            </w:r>
            <w:r>
              <w:t xml:space="preserve"> interrogates each classification choice; exposes that the bivariate hides outliers and that the composite weights are political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Real-Time Surplus Map</w:t>
            </w:r>
          </w:p>
        </w:tc>
        <w:tc>
          <w:tcPr>
            <w:tcW w:type="dxa" w:w="2880"/>
          </w:tcPr>
          <w:p>
            <w:r>
              <w:t>Urgency-weighted routing, 4-stop optimization, transport-hierarchy scoring</w:t>
            </w:r>
          </w:p>
        </w:tc>
        <w:tc>
          <w:tcPr>
            <w:tcW w:type="dxa" w:w="2880"/>
          </w:tcPr>
          <w:p>
            <w:r>
              <w:t xml:space="preserve">The 96.5% / 3.5% compost-vs-donate ratio is foregrounded as a </w:t>
            </w:r>
            <w:r>
              <w:rPr>
                <w:i/>
              </w:rPr>
              <w:t>provocation</w:t>
            </w:r>
            <w:r>
              <w:t>, not a metric to optimize away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AFCN Atlas + Network views</w:t>
            </w:r>
          </w:p>
        </w:tc>
        <w:tc>
          <w:tcPr>
            <w:tcW w:type="dxa" w:w="2880"/>
          </w:tcPr>
          <w:p>
            <w:r>
              <w:t>65 layers across 9 categories, 802 organizations rendered in a radial topology</w:t>
            </w:r>
          </w:p>
        </w:tc>
        <w:tc>
          <w:tcPr>
            <w:tcW w:type="dxa" w:w="2880"/>
          </w:tcPr>
          <w:p>
            <w:r>
              <w:t>The Network view's gaps are themselves a claim about who is unseen — three orgs at the April 15 workshop declined to publish beneficiary detail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Workshop documentation</w:t>
            </w:r>
          </w:p>
        </w:tc>
        <w:tc>
          <w:tcPr>
            <w:tcW w:type="dxa" w:w="2880"/>
          </w:tcPr>
          <w:p>
            <w:r>
              <w:t>Quantified gap matrix (14 orgs × 11 stages), composite scoring of org capabilities</w:t>
            </w:r>
          </w:p>
        </w:tc>
        <w:tc>
          <w:tcPr>
            <w:tcW w:type="dxa" w:w="2880"/>
          </w:tcPr>
          <w:p>
            <w:r>
              <w:t xml:space="preserve">Per-org "Cannot Share" quadrant explicitly records what each org refused to map; the workshop method </w:t>
            </w:r>
            <w:r>
              <w:rPr>
                <w:i/>
              </w:rPr>
              <w:t>requires</w:t>
            </w:r>
            <w:r>
              <w:t xml:space="preserve"> declared silence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M8 Composite Vulnerability Index</w:t>
            </w:r>
          </w:p>
        </w:tc>
        <w:tc>
          <w:tcPr>
            <w:tcW w:type="dxa" w:w="2880"/>
          </w:tcPr>
          <w:p>
            <w:r>
              <w:t>7-indicator weighted z-score synthesis, 5-quintile classification, tornado-chart sensitivity</w:t>
            </w:r>
          </w:p>
        </w:tc>
        <w:tc>
          <w:tcPr>
            <w:tcW w:type="dxa" w:w="2880"/>
          </w:tcPr>
          <w:p>
            <w:r>
              <w:t>The composite is presented with a printed disclaimer that "composite indices are interpretive tools, not ground truth" — the most technically powerful map carries the most explicit critique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 for *my* research topic</w:t>
      </w:r>
    </w:p>
    <w:p>
      <w:r>
        <w:t xml:space="preserve">My research focuses on </w:t>
      </w:r>
      <w:r>
        <w:rPr>
          <w:b/>
        </w:rPr>
        <w:t>the campus-to-community surplus pipeline</w:t>
      </w:r>
      <w:r>
        <w:t xml:space="preserve"> at Georgia Tech. The honest framing requires both methods.</w:t>
      </w:r>
    </w:p>
    <w:p>
      <w:r>
        <w:rPr>
          <w:b/>
        </w:rPr>
        <w:t>Spatial analytics tells me:</w:t>
      </w:r>
      <w:r>
        <w:t xml:space="preserve"> GT campus generates 2,316 lbs of measurable food waste per week (LeanPath, March 4–10, 2026), 1,392 lbs of which is overproduction-preventable. There are 233 ACFB-affiliated pantries within 25 mi of campus. The urgency-aware routing problem has a tractable solution: a 4-stop refrigerated-van loop covering high-priority pantries can be optimized in under 200ms via the ArcGIS Route API.</w:t>
      </w:r>
    </w:p>
    <w:p>
      <w:r>
        <w:rPr>
          <w:b/>
        </w:rPr>
        <w:t>Critical cartography tells me:</w:t>
      </w:r>
      <w:r>
        <w:t xml:space="preserve"> That answer is incomplete and risks doing harm. It assumes:</w:t>
      </w:r>
    </w:p>
    <w:p>
      <w:pPr>
        <w:pStyle w:val="ListBullet"/>
      </w:pPr>
      <w:r>
        <w:t xml:space="preserve">the </w:t>
      </w:r>
      <w:r>
        <w:rPr>
          <w:i/>
        </w:rPr>
        <w:t>formal</w:t>
      </w:r>
      <w:r>
        <w:t xml:space="preserve"> pantry network is what GT surplus should serve (ACFB-affiliated, public-facing addresses) — silencing front-porch fridges, mutual-aid networks, and faith-based distribution that operate without public visibility</w:t>
      </w:r>
    </w:p>
    <w:p>
      <w:pPr>
        <w:pStyle w:val="ListBullet"/>
      </w:pPr>
      <w:r>
        <w:t>"rescue" is a virtue undifferentiated from its alternatives (composting locally, redesigning campus production to avoid overproduction in the first place)</w:t>
      </w:r>
    </w:p>
    <w:p>
      <w:pPr>
        <w:pStyle w:val="ListBullet"/>
      </w:pPr>
      <w:r>
        <w:t>the campus is donor and the community is recipient (a power asymmetry that I, as a GT graduate researcher, embody and risk reproducing)</w:t>
      </w:r>
    </w:p>
    <w:p>
      <w:pPr>
        <w:pStyle w:val="ListBullet"/>
      </w:pPr>
      <w:r>
        <w:t>one week of LeanPath data is a seasonal pattern (it is not)</w:t>
      </w:r>
    </w:p>
    <w:p>
      <w:pPr>
        <w:pStyle w:val="ListBullet"/>
      </w:pPr>
      <w:r>
        <w:t>"Beneficiaries" prefer rescued food over funds, agency, or structural change (they may not)</w:t>
      </w:r>
    </w:p>
    <w:p>
      <w:r>
        <w:t xml:space="preserve">The two methods are not in conflict. The spatial-analytics work makes specific, testable, operationally useful claims; the critical-cartography work makes those claims </w:t>
      </w:r>
      <w:r>
        <w:rPr>
          <w:b/>
        </w:rPr>
        <w:t>contestable, situated, and accountable</w:t>
      </w:r>
      <w:r>
        <w:t xml:space="preserve">. </w:t>
      </w:r>
      <w:r>
        <w:rPr>
          <w:b/>
        </w:rPr>
        <w:t>A map that can be argued with is more honest than a map that cannot.</w:t>
      </w:r>
      <w:r>
        <w:t xml:space="preserve"> AFCN is built on the wager that partner orgs will actually </w:t>
      </w:r>
      <w:r>
        <w:rPr>
          <w:i/>
        </w:rPr>
        <w:t>use</w:t>
      </w:r>
      <w:r>
        <w:t xml:space="preserve"> the dashboard precisely because the limits are visible — that legibility about what is uncertain is the prerequisite for trust.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 xml:space="preserve">Harley, J.B. (1989). "Deconstructing the Map." </w:t>
      </w:r>
      <w:r>
        <w:rPr>
          <w:i/>
        </w:rPr>
        <w:t>Cartographica</w:t>
      </w:r>
      <w:r>
        <w:t xml:space="preserve"> 26(2): 1–20.</w:t>
      </w:r>
    </w:p>
    <w:p>
      <w:pPr>
        <w:pStyle w:val="ListBullet"/>
      </w:pPr>
      <w:r>
        <w:t xml:space="preserve">Wood, D. (2010). </w:t>
      </w:r>
      <w:r>
        <w:rPr>
          <w:i/>
        </w:rPr>
        <w:t>Rethinking the Power of Maps.</w:t>
      </w:r>
      <w:r>
        <w:t xml:space="preserve"> Guilford.</w:t>
      </w:r>
    </w:p>
    <w:p>
      <w:pPr>
        <w:pStyle w:val="ListBullet"/>
      </w:pPr>
      <w:r>
        <w:t xml:space="preserve">Crampton, J. (2010). </w:t>
      </w:r>
      <w:r>
        <w:rPr>
          <w:i/>
        </w:rPr>
        <w:t>Mapping: A Critical Introduction to Cartography and GIS.</w:t>
      </w:r>
      <w:r>
        <w:t xml:space="preserve"> Wiley.</w:t>
      </w:r>
    </w:p>
    <w:p>
      <w:pPr>
        <w:pStyle w:val="ListBullet"/>
      </w:pPr>
      <w:r>
        <w:t xml:space="preserve">O'Sullivan, D. &amp; Unwin, D. (2010). </w:t>
      </w:r>
      <w:r>
        <w:rPr>
          <w:i/>
        </w:rPr>
        <w:t>Geographic Information Analysis.</w:t>
      </w:r>
      <w:r>
        <w:t xml:space="preserve"> 2nd ed. Wiley.</w:t>
      </w:r>
    </w:p>
    <w:p>
      <w:pPr>
        <w:pStyle w:val="ListBullet"/>
      </w:pPr>
      <w:r>
        <w:t xml:space="preserve">Goodchild, M. (1992). "Geographical information science." </w:t>
      </w:r>
      <w:r>
        <w:rPr>
          <w:i/>
        </w:rPr>
        <w:t>International Journal of GIS</w:t>
      </w:r>
      <w:r>
        <w:t xml:space="preserve"> 6(1).</w:t>
      </w:r>
    </w:p>
    <w:p>
      <w:pPr>
        <w:pStyle w:val="ListBullet"/>
      </w:pPr>
      <w:r>
        <w:t xml:space="preserve">Kwan, M.-P. (2002). "Feminist visualization: Re-envisioning GIS as a method in feminist geographic research." </w:t>
      </w:r>
      <w:r>
        <w:rPr>
          <w:i/>
        </w:rPr>
        <w:t>Annals of the AAG</w:t>
      </w:r>
      <w:r>
        <w:t xml:space="preserve"> 92(4).</w:t>
      </w:r>
    </w:p>
    <w:p>
      <w:pPr>
        <w:pStyle w:val="ListBullet"/>
      </w:pPr>
      <w:r>
        <w:t xml:space="preserve">Bunge, W. (1971). </w:t>
      </w:r>
      <w:r>
        <w:rPr>
          <w:i/>
        </w:rPr>
        <w:t>Fitzgerald: Geography of a Revolution.</w:t>
      </w:r>
      <w:r>
        <w:t xml:space="preserve"> Schenkman.</w:t>
      </w:r>
    </w:p>
    <w:p>
      <w:r>
        <w:rPr>
          <w:i/>
        </w:rPr>
        <w:t>One page · approx. 700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