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Datasets — Relevance to Spatial Analysis &amp; Critical Cartography of Atlanta</w:t>
      </w:r>
    </w:p>
    <w:p>
      <w:r>
        <w:rPr>
          <w:b/>
        </w:rPr>
        <w:t>ARCH 4017 · AFCN · Quan Duong · Georgia Tech I2CE Lab · April 2026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 xml:space="preserve">This document inventories the datasets assembled for the AFCN project, discusses what each is good for, what each is silent about, and how the combination enables a Spatial Analysis and Critical Cartography reading of Atlanta's food system. It is the </w:t>
      </w:r>
      <w:r>
        <w:rPr>
          <w:i/>
        </w:rPr>
        <w:t>evidence base</w:t>
      </w:r>
      <w:r>
        <w:rPr>
          <w:i/>
        </w:rPr>
        <w:t xml:space="preserve"> underneath the 5 maps in </w:t>
      </w:r>
      <w:r>
        <w:rPr>
          <w:rFonts w:ascii="Consolas" w:hAnsi="Consolas"/>
          <w:i/>
          <w:sz w:val="20"/>
          <w:shd w:val="clear" w:color="auto" w:fill="F0F0F0"/>
        </w:rPr>
        <w:t>1_Spatial_Analytics/</w:t>
      </w:r>
      <w:r>
        <w:rPr>
          <w:i/>
        </w:rPr>
        <w:t xml:space="preserve"> and the critical review in </w:t>
      </w:r>
      <w:r>
        <w:rPr>
          <w:rFonts w:ascii="Consolas" w:hAnsi="Consolas"/>
          <w:i/>
          <w:sz w:val="20"/>
          <w:shd w:val="clear" w:color="auto" w:fill="F0F0F0"/>
        </w:rPr>
        <w:t>critical_review.md</w:t>
      </w:r>
      <w:r>
        <w:rPr>
          <w:i/>
        </w:rPr>
        <w:t>.</w:t>
      </w:r>
      <w:r>
        <w:rPr>
          <w:i/>
        </w:rPr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Dataset inventory (10 source families · 65 GeoJSON layers · ~800 mapped orgs)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Vintage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Geographic scope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 in AFCN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A. Census ACS</w:t>
            </w:r>
          </w:p>
        </w:tc>
        <w:tc>
          <w:tcPr>
            <w:tcW w:type="dxa" w:w="1728"/>
          </w:tcPr>
          <w:p>
            <w:r>
              <w:t>US Census Bureau 5-Year ACS</w:t>
            </w:r>
          </w:p>
        </w:tc>
        <w:tc>
          <w:tcPr>
            <w:tcW w:type="dxa" w:w="1728"/>
          </w:tcPr>
          <w:p>
            <w:r>
              <w:t>2018–2022</w:t>
            </w:r>
          </w:p>
        </w:tc>
        <w:tc>
          <w:tcPr>
            <w:tcW w:type="dxa" w:w="1728"/>
          </w:tcPr>
          <w:p>
            <w:r>
              <w:t>Tract (Fulton + DeKalb + GA state)</w:t>
            </w:r>
          </w:p>
        </w:tc>
        <w:tc>
          <w:tcPr>
            <w:tcW w:type="dxa" w:w="1728"/>
          </w:tcPr>
          <w:p>
            <w:r>
              <w:t>Demographic denominator: poverty, income, vehicle access, SNAP, household structure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B. CDC PLACES</w:t>
            </w:r>
          </w:p>
        </w:tc>
        <w:tc>
          <w:tcPr>
            <w:tcW w:type="dxa" w:w="1728"/>
          </w:tcPr>
          <w:p>
            <w:r>
              <w:t>CDC Local Data for Better Health</w:t>
            </w:r>
          </w:p>
        </w:tc>
        <w:tc>
          <w:tcPr>
            <w:tcW w:type="dxa" w:w="1728"/>
          </w:tcPr>
          <w:p>
            <w:r>
              <w:t>2024 release</w:t>
            </w:r>
          </w:p>
        </w:tc>
        <w:tc>
          <w:tcPr>
            <w:tcW w:type="dxa" w:w="1728"/>
          </w:tcPr>
          <w:p>
            <w:r>
              <w:t>Tract</w:t>
            </w:r>
          </w:p>
        </w:tc>
        <w:tc>
          <w:tcPr>
            <w:tcW w:type="dxa" w:w="1728"/>
          </w:tcPr>
          <w:p>
            <w:r>
              <w:t>Modeled health outcomes — obesity, diabetes, food insecurity small-area estimates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C. USDA SNAP retailers + LILA</w:t>
            </w:r>
          </w:p>
        </w:tc>
        <w:tc>
          <w:tcPr>
            <w:tcW w:type="dxa" w:w="1728"/>
          </w:tcPr>
          <w:p>
            <w:r>
              <w:t>USDA Food Access Research Atlas</w:t>
            </w:r>
          </w:p>
        </w:tc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Tract</w:t>
            </w:r>
          </w:p>
        </w:tc>
        <w:tc>
          <w:tcPr>
            <w:tcW w:type="dxa" w:w="1728"/>
          </w:tcPr>
          <w:p>
            <w:r>
              <w:t>Low-income / low-access (LILA) classification; SNAP retailer locations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D. CDC mRFEI</w:t>
            </w:r>
          </w:p>
        </w:tc>
        <w:tc>
          <w:tcPr>
            <w:tcW w:type="dxa" w:w="1728"/>
          </w:tcPr>
          <w:p>
            <w:r>
              <w:t>CDC Modified Retail Food Environment Index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Tract</w:t>
            </w:r>
          </w:p>
        </w:tc>
        <w:tc>
          <w:tcPr>
            <w:tcW w:type="dxa" w:w="1728"/>
          </w:tcPr>
          <w:p>
            <w:r>
              <w:t>Per-tract ratio of healthy to less-healthy retailers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E. MARTA GTFS</w:t>
            </w:r>
          </w:p>
        </w:tc>
        <w:tc>
          <w:tcPr>
            <w:tcW w:type="dxa" w:w="1728"/>
          </w:tcPr>
          <w:p>
            <w:r>
              <w:t>MARTA Open Data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Atlanta region</w:t>
            </w:r>
          </w:p>
        </w:tc>
        <w:tc>
          <w:tcPr>
            <w:tcW w:type="dxa" w:w="1728"/>
          </w:tcPr>
          <w:p>
            <w:r>
              <w:t>Rail + bus stops, routes, official line colors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F. OpenStreetMap</w:t>
            </w:r>
          </w:p>
        </w:tc>
        <w:tc>
          <w:tcPr>
            <w:tcW w:type="dxa" w:w="1728"/>
          </w:tcPr>
          <w:p>
            <w:r>
              <w:t>OSM contributors (ODbL)</w:t>
            </w:r>
          </w:p>
        </w:tc>
        <w:tc>
          <w:tcPr>
            <w:tcW w:type="dxa" w:w="1728"/>
          </w:tcPr>
          <w:p>
            <w:r>
              <w:t>March 2026 snapshot</w:t>
            </w:r>
          </w:p>
        </w:tc>
        <w:tc>
          <w:tcPr>
            <w:tcW w:type="dxa" w:w="1728"/>
          </w:tcPr>
          <w:p>
            <w:r>
              <w:t>Atlanta region</w:t>
            </w:r>
          </w:p>
        </w:tc>
        <w:tc>
          <w:tcPr>
            <w:tcW w:type="dxa" w:w="1728"/>
          </w:tcPr>
          <w:p>
            <w:r>
              <w:t>Roads, sidewalks, fast food, restaurants, convenience stores, buildings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G. City of Atlanta DPCD</w:t>
            </w:r>
          </w:p>
        </w:tc>
        <w:tc>
          <w:tcPr>
            <w:tcW w:type="dxa" w:w="1728"/>
          </w:tcPr>
          <w:p>
            <w:r>
              <w:t>Department of City Planning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City of Atlanta</w:t>
            </w:r>
          </w:p>
        </w:tc>
        <w:tc>
          <w:tcPr>
            <w:tcW w:type="dxa" w:w="1728"/>
          </w:tcPr>
          <w:p>
            <w:r>
              <w:t>Zoning, NPUs, neighborhood plans, BeltLine, historic districts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H. ACFB pantry network</w:t>
            </w:r>
          </w:p>
        </w:tc>
        <w:tc>
          <w:tcPr>
            <w:tcW w:type="dxa" w:w="1728"/>
          </w:tcPr>
          <w:p>
            <w:r>
              <w:t>Atlanta Community Food Bank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Metro Atlanta</w:t>
            </w:r>
          </w:p>
        </w:tc>
        <w:tc>
          <w:tcPr>
            <w:tcW w:type="dxa" w:w="1728"/>
          </w:tcPr>
          <w:p>
            <w:r>
              <w:t>Pantry locations, distribution sites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I. LeanPath audit</w:t>
            </w:r>
          </w:p>
        </w:tc>
        <w:tc>
          <w:tcPr>
            <w:tcW w:type="dxa" w:w="1728"/>
          </w:tcPr>
          <w:p>
            <w:r>
              <w:t>GT Dining via LeanPath platform</w:t>
            </w:r>
          </w:p>
        </w:tc>
        <w:tc>
          <w:tcPr>
            <w:tcW w:type="dxa" w:w="1728"/>
          </w:tcPr>
          <w:p>
            <w:r>
              <w:t>Mar 4–10 2026</w:t>
            </w:r>
          </w:p>
        </w:tc>
        <w:tc>
          <w:tcPr>
            <w:tcW w:type="dxa" w:w="1728"/>
          </w:tcPr>
          <w:p>
            <w:r>
              <w:t>GT campus</w:t>
            </w:r>
          </w:p>
        </w:tc>
        <w:tc>
          <w:tcPr>
            <w:tcW w:type="dxa" w:w="1728"/>
          </w:tcPr>
          <w:p>
            <w:r>
              <w:t>Real surplus weights, food cost wasted, donate vs compost rates, loss reasons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J. Workshop-curated</w:t>
            </w:r>
          </w:p>
        </w:tc>
        <w:tc>
          <w:tcPr>
            <w:tcW w:type="dxa" w:w="1728"/>
          </w:tcPr>
          <w:p>
            <w:r>
              <w:t>I2CE Lab + 14 partner orgs</w:t>
            </w:r>
          </w:p>
        </w:tc>
        <w:tc>
          <w:tcPr>
            <w:tcW w:type="dxa" w:w="1728"/>
          </w:tcPr>
          <w:p>
            <w:r>
              <w:t>April 15 2026</w:t>
            </w:r>
          </w:p>
        </w:tc>
        <w:tc>
          <w:tcPr>
            <w:tcW w:type="dxa" w:w="1728"/>
          </w:tcPr>
          <w:p>
            <w:r>
              <w:t>Atlanta + GT</w:t>
            </w:r>
          </w:p>
        </w:tc>
        <w:tc>
          <w:tcPr>
            <w:tcW w:type="dxa" w:w="1728"/>
          </w:tcPr>
          <w:p>
            <w:r>
              <w:t>Beneficiary access, redistribution nodes, network flows, circular-economy points</w:t>
            </w:r>
          </w:p>
        </w:tc>
      </w:tr>
    </w:tbl>
    <w:p/>
    <w:p>
      <w:r>
        <w:t>Plus derived layers: healthy-food 1-mile coverage (pgRouting network buffer), grocery access distance (per-tract nearest grocery in miles), 5/10/15-min walksheds from MARTA (OSRM isochrone), and the M8 food-insecurity composite risk score.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Per-family discussion</w:t>
      </w:r>
    </w:p>
    <w:p>
      <w:pPr>
        <w:pStyle w:val="Heading3"/>
      </w:pPr>
      <w:r>
        <w:t>A. Census ACS 5-Year (2018–2022)</w:t>
      </w:r>
    </w:p>
    <w:p>
      <w:r>
        <w:rPr>
          <w:b/>
        </w:rPr>
        <w:t>Relevance.</w:t>
      </w:r>
      <w:r>
        <w:t xml:space="preserve"> Without ACS, the food map is just dots — no population denominator. Every choropleth in AFCN normalizes against ACS tract counts. Vehicle availability (B08201) is essential for arguing that food access is a </w:t>
      </w:r>
      <w:r>
        <w:rPr>
          <w:i/>
        </w:rPr>
        <w:t>mobility</w:t>
      </w:r>
      <w:r>
        <w:t xml:space="preserve"> problem, not just a distance problem.</w:t>
      </w:r>
    </w:p>
    <w:p>
      <w:r>
        <w:rPr>
          <w:b/>
        </w:rPr>
        <w:t>What it enables.</w:t>
      </w:r>
      <w:r>
        <w:t xml:space="preserve"> Spatial joins between food-retailer points and household demographics; computing access </w:t>
      </w:r>
      <w:r>
        <w:rPr>
          <w:i/>
        </w:rPr>
        <w:t>rates</w:t>
      </w:r>
      <w:r>
        <w:t xml:space="preserve"> instead of raw counts.</w:t>
      </w:r>
    </w:p>
    <w:p>
      <w:r>
        <w:rPr>
          <w:b/>
        </w:rPr>
        <w:t>Critical-cartography caveat.</w:t>
      </w:r>
      <w:r>
        <w:t xml:space="preserve"> ACS is a </w:t>
      </w:r>
      <w:r>
        <w:rPr>
          <w:i/>
        </w:rPr>
        <w:t>survey</w:t>
      </w:r>
      <w:r>
        <w:t xml:space="preserve"> with margins of error that grow at small geographies. A tract-level median income of $42,000 may carry a ±$8,000 confidence interval that no choropleth color band reveals. The map asserts certainty the data does not have.</w:t>
      </w:r>
    </w:p>
    <w:p>
      <w:pPr>
        <w:pStyle w:val="Heading3"/>
      </w:pPr>
      <w:r>
        <w:t>B. CDC PLACES (2024)</w:t>
      </w:r>
    </w:p>
    <w:p>
      <w:r>
        <w:rPr>
          <w:b/>
        </w:rPr>
        <w:t>Relevance.</w:t>
      </w:r>
      <w:r>
        <w:t xml:space="preserve"> Health outcomes (obesity, diabetes, food insecurity perception) at tract granularity. Connects food environment → health, the SDOH argument that justifies the project's framing.</w:t>
      </w:r>
    </w:p>
    <w:p>
      <w:r>
        <w:rPr>
          <w:b/>
        </w:rPr>
        <w:t>What it enables.</w:t>
      </w:r>
      <w:r>
        <w:t xml:space="preserve"> Map 4 / M8 composite uses PLACES obesity + diabetes as 2 of 7 indicators; the bivariate prototype (M4 × M7) is built on PLACES.</w:t>
      </w:r>
    </w:p>
    <w:p>
      <w:r>
        <w:rPr>
          <w:b/>
        </w:rPr>
        <w:t>Critical-cartography caveat.</w:t>
      </w:r>
      <w:r>
        <w:t xml:space="preserve"> PLACES is </w:t>
      </w:r>
      <w:r>
        <w:rPr>
          <w:b/>
        </w:rPr>
        <w:t>modeled, not measured</w:t>
      </w:r>
      <w:r>
        <w:t xml:space="preserve">. The agency runs multilevel regression with poststratification (MRP) using BRFSS state-level survey results, smoothing each tract toward its demographic neighbors. </w:t>
      </w:r>
      <w:r>
        <w:rPr>
          <w:b/>
        </w:rPr>
        <w:t>A tract's PLACES obesity rate is partly a prediction</w:t>
      </w:r>
      <w:r>
        <w:t>. This is rarely shown in public uses of PLACES.</w:t>
      </w:r>
    </w:p>
    <w:p>
      <w:pPr>
        <w:pStyle w:val="Heading3"/>
      </w:pPr>
      <w:r>
        <w:t>C. USDA SNAP retailers + LILA tracts</w:t>
      </w:r>
    </w:p>
    <w:p>
      <w:r>
        <w:rPr>
          <w:b/>
        </w:rPr>
        <w:t>Relevance.</w:t>
      </w:r>
      <w:r>
        <w:t xml:space="preserve"> LILA is the federal definition of food deserts and the entry point for most policy conversations. Including it lets AFCN dialog with USDA / HUD / Treasury programs.</w:t>
      </w:r>
    </w:p>
    <w:p>
      <w:r>
        <w:rPr>
          <w:b/>
        </w:rPr>
        <w:t>What it enables.</w:t>
      </w:r>
      <w:r>
        <w:t xml:space="preserve"> Map 2 overlays USDA Food Desert tracts on our own network-distance computation; the comparison reveals where federal definition agrees with on-the-ground access and where it misses.</w:t>
      </w:r>
    </w:p>
    <w:p>
      <w:r>
        <w:rPr>
          <w:b/>
        </w:rPr>
        <w:t>Critical-cartography caveat.</w:t>
      </w:r>
      <w:r>
        <w:t xml:space="preserve"> USDA LILA uses </w:t>
      </w:r>
      <w:r>
        <w:rPr>
          <w:b/>
        </w:rPr>
        <w:t>1-mile urban threshold + 20% low-income threshold</w:t>
      </w:r>
      <w:r>
        <w:t>. These cutoffs are administrative conventions, not behavioral truths. A household 0.9 miles from a Kroger in 95°F humidity walking with children faces fundamentally different access than the threshold suggests. LILA also has not been updated since 2019; recent closures are not reflected.</w:t>
      </w:r>
    </w:p>
    <w:p>
      <w:pPr>
        <w:pStyle w:val="Heading3"/>
      </w:pPr>
      <w:r>
        <w:t>D. CDC mRFEI (2023)</w:t>
      </w:r>
    </w:p>
    <w:p>
      <w:r>
        <w:rPr>
          <w:b/>
        </w:rPr>
        <w:t>Relevance.</w:t>
      </w:r>
      <w:r>
        <w:t xml:space="preserve"> Single number per tract summarizing the ratio of healthy to less-healthy food retailers. Useful as a </w:t>
      </w:r>
      <w:r>
        <w:rPr>
          <w:i/>
        </w:rPr>
        <w:t>headline</w:t>
      </w:r>
      <w:r>
        <w:t xml:space="preserve"> metric; powerful in policy briefings.</w:t>
      </w:r>
    </w:p>
    <w:p>
      <w:r>
        <w:rPr>
          <w:b/>
        </w:rPr>
        <w:t>What it enables.</w:t>
      </w:r>
      <w:r>
        <w:t xml:space="preserve"> Map 1 — the most immediately legible AFCN map. Quintile choropleth that reads as the "food landscape" at a glance.</w:t>
      </w:r>
    </w:p>
    <w:p>
      <w:r>
        <w:rPr>
          <w:b/>
        </w:rPr>
        <w:t>Critical-cartography caveat.</w:t>
      </w:r>
      <w:r>
        <w:t xml:space="preserve"> mRFEI </w:t>
      </w:r>
      <w:r>
        <w:rPr>
          <w:b/>
        </w:rPr>
        <w:t>does not weight by store size, hours, or product mix</w:t>
      </w:r>
      <w:r>
        <w:t>. A 5,000 sqft Save-A-Lot counts identically with a 50,000 sqft Kroger; a Whole Foods open 14 hrs/day counts identically with a corner grocer open 6 hrs.</w:t>
      </w:r>
    </w:p>
    <w:p>
      <w:pPr>
        <w:pStyle w:val="Heading3"/>
      </w:pPr>
      <w:r>
        <w:t>E. MARTA GTFS (2025)</w:t>
      </w:r>
    </w:p>
    <w:p>
      <w:r>
        <w:rPr>
          <w:b/>
        </w:rPr>
        <w:t>Relevance.</w:t>
      </w:r>
      <w:r>
        <w:t xml:space="preserve"> Atlanta is unusually transit-segmented; food access </w:t>
      </w:r>
      <w:r>
        <w:rPr>
          <w:i/>
        </w:rPr>
        <w:t>outside</w:t>
      </w:r>
      <w:r>
        <w:t xml:space="preserve"> the rail walkshed differs dramatically from inside.</w:t>
      </w:r>
    </w:p>
    <w:p>
      <w:r>
        <w:rPr>
          <w:b/>
        </w:rPr>
        <w:t>What it enables.</w:t>
      </w:r>
      <w:r>
        <w:t xml:space="preserve"> Map 3 builds 5/10/15-min walksheds via OSRM around every MARTA stop. Surplus map routing uses MARTA proximity as a tie-breaker when sending rescue runs.</w:t>
      </w:r>
    </w:p>
    <w:p>
      <w:r>
        <w:rPr>
          <w:b/>
        </w:rPr>
        <w:t>Critical-cartography caveat.</w:t>
      </w:r>
      <w:r>
        <w:t xml:space="preserve"> GTFS schedules are </w:t>
      </w:r>
      <w:r>
        <w:rPr>
          <w:i/>
        </w:rPr>
        <w:t>plans</w:t>
      </w:r>
      <w:r>
        <w:t xml:space="preserve">, not </w:t>
      </w:r>
      <w:r>
        <w:rPr>
          <w:i/>
        </w:rPr>
        <w:t>observed performance</w:t>
      </w:r>
      <w:r>
        <w:t>. A bus stop with hourly service is functionally different from a rail station with 10-min headways — the feed treats both as binary "present/not present" in our isochrone analysis.</w:t>
      </w:r>
    </w:p>
    <w:p>
      <w:pPr>
        <w:pStyle w:val="Heading3"/>
      </w:pPr>
      <w:r>
        <w:t>F. OpenStreetMap (March 2026 snapshot)</w:t>
      </w:r>
    </w:p>
    <w:p>
      <w:r>
        <w:rPr>
          <w:b/>
        </w:rPr>
        <w:t>Relevance.</w:t>
      </w:r>
      <w:r>
        <w:t xml:space="preserve"> Free, volunteer-edited, comprehensive. The only feasible source for fast-food, restaurant, convenience-store, and sidewalk geometry at city scale.</w:t>
      </w:r>
    </w:p>
    <w:p>
      <w:r>
        <w:rPr>
          <w:b/>
        </w:rPr>
        <w:t>What it enables.</w:t>
      </w:r>
      <w:r>
        <w:t xml:space="preserve"> mRFEI denominator (Map 1), walkshed routing (Map 3), street centerlines for visual context.</w:t>
      </w:r>
    </w:p>
    <w:p>
      <w:r>
        <w:rPr>
          <w:b/>
        </w:rPr>
        <w:t>Critical-cartography caveat.</w:t>
      </w:r>
      <w:r>
        <w:t xml:space="preserve"> </w:t>
      </w:r>
      <w:r>
        <w:rPr>
          <w:b/>
        </w:rPr>
        <w:t>Coverage is uneven and correlated with editor demographics.</w:t>
      </w:r>
      <w:r>
        <w:t xml:space="preserve"> Buckhead is more densely mapped than southwest Atlanta — not because it has more amenities, but because more OSM editors live there. A "low density" reading in a low-edited area might be </w:t>
      </w:r>
      <w:r>
        <w:rPr>
          <w:i/>
        </w:rPr>
        <w:t>under-mapping</w:t>
      </w:r>
      <w:r>
        <w:t>, not under-supply. This is the single biggest invisible bias in AFCN's spatial layer stack.</w:t>
      </w:r>
    </w:p>
    <w:p>
      <w:pPr>
        <w:pStyle w:val="Heading3"/>
      </w:pPr>
      <w:r>
        <w:t>G. City of Atlanta DPCD layers (2024)</w:t>
      </w:r>
    </w:p>
    <w:p>
      <w:r>
        <w:rPr>
          <w:b/>
        </w:rPr>
        <w:t>Relevance.</w:t>
      </w:r>
      <w:r>
        <w:t xml:space="preserve"> Zoning, NPUs, BeltLine, historic districts — the </w:t>
      </w:r>
      <w:r>
        <w:rPr>
          <w:i/>
        </w:rPr>
        <w:t>regulatory</w:t>
      </w:r>
      <w:r>
        <w:t xml:space="preserve"> context in which the food system operates.</w:t>
      </w:r>
    </w:p>
    <w:p>
      <w:r>
        <w:rPr>
          <w:b/>
        </w:rPr>
        <w:t>What it enables.</w:t>
      </w:r>
      <w:r>
        <w:t xml:space="preserve"> Showcase scenes that explain </w:t>
      </w:r>
      <w:r>
        <w:rPr>
          <w:i/>
        </w:rPr>
        <w:t>why</w:t>
      </w:r>
      <w:r>
        <w:t xml:space="preserve"> a grocery cannot open in a given tract (zoning), why beltline-adjacent neighborhoods are gentrifying faster, and which NPUs have organized food-policy positions.</w:t>
      </w:r>
    </w:p>
    <w:p>
      <w:r>
        <w:rPr>
          <w:b/>
        </w:rPr>
        <w:t>Critical-cartography caveat.</w:t>
      </w:r>
      <w:r>
        <w:t xml:space="preserve"> Zoning maps make exclusion </w:t>
      </w:r>
      <w:r>
        <w:rPr>
          <w:i/>
        </w:rPr>
        <w:t>legible</w:t>
      </w:r>
      <w:r>
        <w:t xml:space="preserve"> but also </w:t>
      </w:r>
      <w:r>
        <w:rPr>
          <w:i/>
        </w:rPr>
        <w:t>natural-looking</w:t>
      </w:r>
      <w:r>
        <w:t xml:space="preserve">. Rendering a </w:t>
      </w:r>
      <w:r>
        <w:rPr>
          <w:rFonts w:ascii="Consolas" w:hAnsi="Consolas"/>
          <w:sz w:val="20"/>
          <w:shd w:val="clear" w:color="auto" w:fill="F0F0F0"/>
        </w:rPr>
        <w:t>C-1</w:t>
      </w:r>
      <w:r>
        <w:t xml:space="preserve"> zone one shade and </w:t>
      </w:r>
      <w:r>
        <w:rPr>
          <w:rFonts w:ascii="Consolas" w:hAnsi="Consolas"/>
          <w:sz w:val="20"/>
          <w:shd w:val="clear" w:color="auto" w:fill="F0F0F0"/>
        </w:rPr>
        <w:t>R-3</w:t>
      </w:r>
      <w:r>
        <w:t xml:space="preserve"> another presents the divide as administrative when it is in fact the product of decades of land-use politics, redlining legacies, and continued exclusionary zoning.</w:t>
      </w:r>
    </w:p>
    <w:p>
      <w:pPr>
        <w:pStyle w:val="Heading3"/>
      </w:pPr>
      <w:r>
        <w:t>H. ACFB pantry network</w:t>
      </w:r>
    </w:p>
    <w:p>
      <w:r>
        <w:rPr>
          <w:b/>
        </w:rPr>
        <w:t>Relevance.</w:t>
      </w:r>
      <w:r>
        <w:t xml:space="preserve"> ACFB is the regional anchor. Without their roster, the demand-supply pantry layer in Map 4 / M8 does not exist.</w:t>
      </w:r>
    </w:p>
    <w:p>
      <w:r>
        <w:rPr>
          <w:b/>
        </w:rPr>
        <w:t>What it enables.</w:t>
      </w:r>
      <w:r>
        <w:t xml:space="preserve"> Pantry overlay on M8 composite; flow-routing in the Surplus map; partner-network analysis in Network view.</w:t>
      </w:r>
    </w:p>
    <w:p>
      <w:r>
        <w:rPr>
          <w:b/>
        </w:rPr>
        <w:t>Critical-cartography caveat.</w:t>
      </w:r>
      <w:r>
        <w:t xml:space="preserve"> ACFB lists </w:t>
      </w:r>
      <w:r>
        <w:rPr>
          <w:b/>
        </w:rPr>
        <w:t>public-facing distribution addresses</w:t>
      </w:r>
      <w:r>
        <w:t xml:space="preserve">. Many community pantries (front-porch fridges, faith-based informal networks, mutual-aid pickup points) operate without ACFB visibility. The map renders the </w:t>
      </w:r>
      <w:r>
        <w:rPr>
          <w:i/>
        </w:rPr>
        <w:t>formal</w:t>
      </w:r>
      <w:r>
        <w:t xml:space="preserve"> food-rescue economy and </w:t>
      </w:r>
      <w:r>
        <w:rPr>
          <w:i/>
        </w:rPr>
        <w:t>erases</w:t>
      </w:r>
      <w:r>
        <w:t xml:space="preserve"> the informal one. Three orgs at the April 15 workshop explicitly noted their beneficiary-side data is not for public release.</w:t>
      </w:r>
    </w:p>
    <w:p>
      <w:pPr>
        <w:pStyle w:val="Heading3"/>
      </w:pPr>
      <w:r>
        <w:t>I. LeanPath audit (Mar 4–10, 2026)</w:t>
      </w:r>
    </w:p>
    <w:p>
      <w:r>
        <w:rPr>
          <w:b/>
        </w:rPr>
        <w:t>Relevance.</w:t>
      </w:r>
      <w:r>
        <w:t xml:space="preserve"> The only </w:t>
      </w:r>
      <w:r>
        <w:rPr>
          <w:b/>
        </w:rPr>
        <w:t>measured, weight-based</w:t>
      </w:r>
      <w:r>
        <w:t xml:space="preserve"> surplus dataset in the project. Every other surplus layer is modeled or self-reported.</w:t>
      </w:r>
    </w:p>
    <w:p>
      <w:r>
        <w:rPr>
          <w:b/>
        </w:rPr>
        <w:t>What it enables.</w:t>
      </w:r>
      <w:r>
        <w:t xml:space="preserve"> Map 5 surplus flow (real source quantities); Surplus map ops dashboard (1,051 lbs across 30 grouped pins); fleet KPIs.</w:t>
      </w:r>
    </w:p>
    <w:p>
      <w:r>
        <w:rPr>
          <w:b/>
        </w:rPr>
        <w:t>Critical-cartography caveat.</w:t>
      </w:r>
      <w:r>
        <w:t xml:space="preserve"> </w:t>
      </w:r>
      <w:r>
        <w:rPr>
          <w:b/>
        </w:rPr>
        <w:t>One week is not a season</w:t>
      </w:r>
      <w:r>
        <w:t xml:space="preserve">, and </w:t>
      </w:r>
      <w:r>
        <w:rPr>
          <w:b/>
        </w:rPr>
        <w:t>GT dining is not Atlanta retail</w:t>
      </w:r>
      <w:r>
        <w:t xml:space="preserve">. The aggregate finding that </w:t>
      </w:r>
      <w:r>
        <w:rPr>
          <w:b/>
        </w:rPr>
        <w:t>96.5% of GT waste composts while only 3.5% is donated</w:t>
      </w:r>
      <w:r>
        <w:t xml:space="preserve"> describes campus dining, not Atlanta. It is the project's central provocation but cannot be generalized without separate audits.</w:t>
      </w:r>
    </w:p>
    <w:p>
      <w:pPr>
        <w:pStyle w:val="Heading3"/>
      </w:pPr>
      <w:r>
        <w:t>J. Workshop-curated layers (April 2026)</w:t>
      </w:r>
    </w:p>
    <w:p>
      <w:r>
        <w:rPr>
          <w:b/>
        </w:rPr>
        <w:t>Relevance.</w:t>
      </w:r>
      <w:r>
        <w:t xml:space="preserve"> Reflect </w:t>
      </w:r>
      <w:r>
        <w:rPr>
          <w:i/>
        </w:rPr>
        <w:t>what the 14 partner orgs themselves said about their work</w:t>
      </w:r>
      <w:r>
        <w:t xml:space="preserve"> — ground-truth that no top-down dataset captures.</w:t>
      </w:r>
    </w:p>
    <w:p>
      <w:r>
        <w:rPr>
          <w:b/>
        </w:rPr>
        <w:t>What it enables.</w:t>
      </w:r>
      <w:r>
        <w:t xml:space="preserve"> Beneficiary access points (17 features), redistribution nodes (2,629 features, ACFB + curated), network flows (12 modeled OD pairs), circular-economy points (127 — compost, recycling, gardens).</w:t>
      </w:r>
    </w:p>
    <w:p>
      <w:r>
        <w:rPr>
          <w:b/>
        </w:rPr>
        <w:t>Critical-cartography caveat.</w:t>
      </w:r>
      <w:r>
        <w:t xml:space="preserve"> Workshop-curated data inherits the </w:t>
      </w:r>
      <w:r>
        <w:rPr>
          <w:i/>
        </w:rPr>
        <w:t>organizations who showed up</w:t>
      </w:r>
      <w:r>
        <w:t>. Orgs that declined or were not invited are absent. This produces a "</w:t>
      </w:r>
      <w:r>
        <w:rPr>
          <w:b/>
        </w:rPr>
        <w:t>RSVP-shaped map</w:t>
      </w:r>
      <w:r>
        <w:t>" — accurate for who is engaged, blind to who is excluded.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How the datasets combine — a Spatial-Analysis reading</w:t>
      </w:r>
    </w:p>
    <w:p>
      <w:r>
        <w:t xml:space="preserve">The power of the AFCN dataset stack is not any single layer but the </w:t>
      </w:r>
      <w:r>
        <w:rPr>
          <w:b/>
        </w:rPr>
        <w:t>systematic overlay of supply (D, F, H), access (C, E, derived isochrones), demand (A, B), and operational reality (I, J)</w:t>
      </w:r>
      <w:r>
        <w:t xml:space="preserve"> at the same geographic unit (tract).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Spatial-analysis 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Required dataset overlay</w:t>
            </w:r>
          </w:p>
        </w:tc>
      </w:tr>
      <w:tr>
        <w:tc>
          <w:tcPr>
            <w:tcW w:type="dxa" w:w="4320"/>
          </w:tcPr>
          <w:p>
            <w:r>
              <w:t>Where are the food deserts in Atlanta?</w:t>
            </w:r>
          </w:p>
        </w:tc>
        <w:tc>
          <w:tcPr>
            <w:tcW w:type="dxa" w:w="4320"/>
          </w:tcPr>
          <w:p>
            <w:r>
              <w:t>C (LILA) ∩ D (mRFEI) ∩ derived network distance</w:t>
            </w:r>
          </w:p>
        </w:tc>
      </w:tr>
      <w:tr>
        <w:tc>
          <w:tcPr>
            <w:tcW w:type="dxa" w:w="4320"/>
          </w:tcPr>
          <w:p>
            <w:r>
              <w:t>Where do demand and supply diverge?</w:t>
            </w:r>
          </w:p>
        </w:tc>
        <w:tc>
          <w:tcPr>
            <w:tcW w:type="dxa" w:w="4320"/>
          </w:tcPr>
          <w:p>
            <w:r>
              <w:t>A (poverty/income) × H (pantries) over tract polygons</w:t>
            </w:r>
          </w:p>
        </w:tc>
      </w:tr>
      <w:tr>
        <w:tc>
          <w:tcPr>
            <w:tcW w:type="dxa" w:w="4320"/>
          </w:tcPr>
          <w:p>
            <w:r>
              <w:t>Where does transit fail food access?</w:t>
            </w:r>
          </w:p>
        </w:tc>
        <w:tc>
          <w:tcPr>
            <w:tcW w:type="dxa" w:w="4320"/>
          </w:tcPr>
          <w:p>
            <w:r>
              <w:t>E (MARTA walksheds) ∩ A (no-vehicle %) ∩ D (mRFEI)</w:t>
            </w:r>
          </w:p>
        </w:tc>
      </w:tr>
      <w:tr>
        <w:tc>
          <w:tcPr>
            <w:tcW w:type="dxa" w:w="4320"/>
          </w:tcPr>
          <w:p>
            <w:r>
              <w:t>Which tracts are simultaneously high-need on multiple axes?</w:t>
            </w:r>
          </w:p>
        </w:tc>
        <w:tc>
          <w:tcPr>
            <w:tcW w:type="dxa" w:w="4320"/>
          </w:tcPr>
          <w:p>
            <w:r>
              <w:t>A + B + C + D → M8 composite (Map 4)</w:t>
            </w:r>
          </w:p>
        </w:tc>
      </w:tr>
      <w:tr>
        <w:tc>
          <w:tcPr>
            <w:tcW w:type="dxa" w:w="4320"/>
          </w:tcPr>
          <w:p>
            <w:r>
              <w:t>Where does GT campus surplus go, and where could it go?</w:t>
            </w:r>
          </w:p>
        </w:tc>
        <w:tc>
          <w:tcPr>
            <w:tcW w:type="dxa" w:w="4320"/>
          </w:tcPr>
          <w:p>
            <w:r>
              <w:t>I (LeanPath) × H (pantries) + derived routing</w:t>
            </w:r>
          </w:p>
        </w:tc>
      </w:tr>
      <w:tr>
        <w:tc>
          <w:tcPr>
            <w:tcW w:type="dxa" w:w="4320"/>
          </w:tcPr>
          <w:p>
            <w:r>
              <w:t>Who is doing what in the network?</w:t>
            </w:r>
          </w:p>
        </w:tc>
        <w:tc>
          <w:tcPr>
            <w:tcW w:type="dxa" w:w="4320"/>
          </w:tcPr>
          <w:p>
            <w:r>
              <w:t>J (workshop-curated org roster) + spatial join</w:t>
            </w:r>
          </w:p>
        </w:tc>
      </w:tr>
    </w:tbl>
    <w:p/>
    <w:p>
      <w:r>
        <w:t xml:space="preserve">This combinatorial power is the central argument for spatial analysis: </w:t>
      </w:r>
      <w:r>
        <w:rPr>
          <w:b/>
        </w:rPr>
        <w:t>no single source answers any of these questions; the intersection does</w:t>
      </w:r>
      <w:r>
        <w:t>.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How the same datasets enable a Critical Cartography reading</w:t>
      </w:r>
    </w:p>
    <w:p>
      <w:r>
        <w:t xml:space="preserve">A Critical Cartography reading does the opposite — it interrogates the same overlays for what they conceal. Each dataset's caveat becomes a </w:t>
      </w:r>
      <w:r>
        <w:rPr>
          <w:i/>
        </w:rPr>
        <w:t>line of critique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Critical-cartography 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Which dataset is being interrogated</w:t>
            </w:r>
          </w:p>
        </w:tc>
      </w:tr>
      <w:tr>
        <w:tc>
          <w:tcPr>
            <w:tcW w:type="dxa" w:w="4320"/>
          </w:tcPr>
          <w:p>
            <w:r>
              <w:t>Whose hunger is rendered visible?</w:t>
            </w:r>
          </w:p>
        </w:tc>
        <w:tc>
          <w:tcPr>
            <w:tcW w:type="dxa" w:w="4320"/>
          </w:tcPr>
          <w:p>
            <w:r>
              <w:t>C (USDA LILA) — formally measured low-income only</w:t>
            </w:r>
          </w:p>
        </w:tc>
      </w:tr>
      <w:tr>
        <w:tc>
          <w:tcPr>
            <w:tcW w:type="dxa" w:w="4320"/>
          </w:tcPr>
          <w:p>
            <w:r>
              <w:t>Whose food provisioning is rendered invisible?</w:t>
            </w:r>
          </w:p>
        </w:tc>
        <w:tc>
          <w:tcPr>
            <w:tcW w:type="dxa" w:w="4320"/>
          </w:tcPr>
          <w:p>
            <w:r>
              <w:t>F, H, J — informal vendors, mutual aid, faith-based, undocumented fridges</w:t>
            </w:r>
          </w:p>
        </w:tc>
      </w:tr>
      <w:tr>
        <w:tc>
          <w:tcPr>
            <w:tcW w:type="dxa" w:w="4320"/>
          </w:tcPr>
          <w:p>
            <w:r>
              <w:t>What administrative threshold becomes a "natural" boundary on the map?</w:t>
            </w:r>
          </w:p>
        </w:tc>
        <w:tc>
          <w:tcPr>
            <w:tcW w:type="dxa" w:w="4320"/>
          </w:tcPr>
          <w:p>
            <w:r>
              <w:t>C (1-mile LILA), E (15-min walkshed)</w:t>
            </w:r>
          </w:p>
        </w:tc>
      </w:tr>
      <w:tr>
        <w:tc>
          <w:tcPr>
            <w:tcW w:type="dxa" w:w="4320"/>
          </w:tcPr>
          <w:p>
            <w:r>
              <w:t>What modeled estimate is being presented as ground truth?</w:t>
            </w:r>
          </w:p>
        </w:tc>
        <w:tc>
          <w:tcPr>
            <w:tcW w:type="dxa" w:w="4320"/>
          </w:tcPr>
          <w:p>
            <w:r>
              <w:t>B (CDC PLACES MRP), composite indices built on B</w:t>
            </w:r>
          </w:p>
        </w:tc>
      </w:tr>
      <w:tr>
        <w:tc>
          <w:tcPr>
            <w:tcW w:type="dxa" w:w="4320"/>
          </w:tcPr>
          <w:p>
            <w:r>
              <w:t>What demographic of map-editor is shaping coverage?</w:t>
            </w:r>
          </w:p>
        </w:tc>
        <w:tc>
          <w:tcPr>
            <w:tcW w:type="dxa" w:w="4320"/>
          </w:tcPr>
          <w:p>
            <w:r>
              <w:t>F (OSM) editor geography</w:t>
            </w:r>
          </w:p>
        </w:tc>
      </w:tr>
      <w:tr>
        <w:tc>
          <w:tcPr>
            <w:tcW w:type="dxa" w:w="4320"/>
          </w:tcPr>
          <w:p>
            <w:r>
              <w:t>Whose data won the right to publication, and whose did not?</w:t>
            </w:r>
          </w:p>
        </w:tc>
        <w:tc>
          <w:tcPr>
            <w:tcW w:type="dxa" w:w="4320"/>
          </w:tcPr>
          <w:p>
            <w:r>
              <w:t>J (workshop orgs declined to publish beneficiary detail)</w:t>
            </w:r>
          </w:p>
        </w:tc>
      </w:tr>
      <w:tr>
        <w:tc>
          <w:tcPr>
            <w:tcW w:type="dxa" w:w="4320"/>
          </w:tcPr>
          <w:p>
            <w:r>
              <w:t>What week-long snapshot is being read as a yearly pattern?</w:t>
            </w:r>
          </w:p>
        </w:tc>
        <w:tc>
          <w:tcPr>
            <w:tcW w:type="dxa" w:w="4320"/>
          </w:tcPr>
          <w:p>
            <w:r>
              <w:t>I (LeanPath Mar 4–10 2026)</w:t>
            </w:r>
          </w:p>
        </w:tc>
      </w:tr>
    </w:tbl>
    <w:p/>
    <w:p>
      <w:r>
        <w:t xml:space="preserve">The critical-cartography stance does not reject the maps — it insists that </w:t>
      </w:r>
      <w:r>
        <w:rPr>
          <w:b/>
        </w:rPr>
        <w:t>the maps' authority depends on the reader knowing what they exclude</w:t>
      </w:r>
      <w:r>
        <w:t>.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Provenance &amp; licensing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Covered datasets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 domain</w:t>
            </w:r>
          </w:p>
        </w:tc>
        <w:tc>
          <w:tcPr>
            <w:tcW w:type="dxa" w:w="4320"/>
          </w:tcPr>
          <w:p>
            <w:r>
              <w:t>A (Census ACS), B (CDC PLACES), C (USDA), D (CDC mRFEI), E (MARTA GTFS), G (City of Atlanta DPCD)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Open data (ODbL)</w:t>
            </w:r>
          </w:p>
        </w:tc>
        <w:tc>
          <w:tcPr>
            <w:tcW w:type="dxa" w:w="4320"/>
          </w:tcPr>
          <w:p>
            <w:r>
              <w:t>F (OpenStreetMap — attribution required)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Used with permission</w:t>
            </w:r>
          </w:p>
        </w:tc>
        <w:tc>
          <w:tcPr>
            <w:tcW w:type="dxa" w:w="4320"/>
          </w:tcPr>
          <w:p>
            <w:r>
              <w:t>H (ACFB pantry network), I (LeanPath audit)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I2CE Lab / personal-academic use only</w:t>
            </w:r>
          </w:p>
        </w:tc>
        <w:tc>
          <w:tcPr>
            <w:tcW w:type="dxa" w:w="4320"/>
          </w:tcPr>
          <w:p>
            <w:r>
              <w:t>J (workshop-curated), derived composite scores</w:t>
            </w:r>
          </w:p>
        </w:tc>
      </w:tr>
    </w:tbl>
    <w:p/>
    <w:p>
      <w:r>
        <w:t xml:space="preserve">Reproducibility: every layer is named in </w:t>
      </w:r>
      <w:r>
        <w:rPr>
          <w:rFonts w:ascii="Consolas" w:hAnsi="Consolas"/>
          <w:sz w:val="20"/>
          <w:shd w:val="clear" w:color="auto" w:fill="F0F0F0"/>
        </w:rPr>
        <w:t>data_sources.md</w:t>
      </w:r>
      <w:r>
        <w:t xml:space="preserve"> of the relevant map folder. Every derived layer is rebuilt from raw sources via scripts in </w:t>
      </w:r>
      <w:r>
        <w:rPr>
          <w:rFonts w:ascii="Consolas" w:hAnsi="Consolas"/>
          <w:sz w:val="20"/>
          <w:shd w:val="clear" w:color="auto" w:fill="F0F0F0"/>
        </w:rPr>
        <w:t>scripts/</w:t>
      </w:r>
      <w:r>
        <w:t xml:space="preserve"> and </w:t>
      </w:r>
      <w:r>
        <w:rPr>
          <w:rFonts w:ascii="Consolas" w:hAnsi="Consolas"/>
          <w:sz w:val="20"/>
          <w:shd w:val="clear" w:color="auto" w:fill="F0F0F0"/>
        </w:rPr>
        <w:t>submission/1_Spatial_Analytics/export_maps.py</w:t>
      </w:r>
      <w:r>
        <w:t>.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What is still missing — the dataset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Acquisition path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Real-time demand signals</w:t>
            </w:r>
            <w:r>
              <w:t xml:space="preserve"> (pantry visit counts, waitlist sizes)</w:t>
            </w:r>
          </w:p>
        </w:tc>
        <w:tc>
          <w:tcPr>
            <w:tcW w:type="dxa" w:w="2880"/>
          </w:tcPr>
          <w:p>
            <w:r>
              <w:t xml:space="preserve">All current demand layers are </w:t>
            </w:r>
            <w:r>
              <w:rPr>
                <w:i/>
              </w:rPr>
              <w:t>modeled</w:t>
            </w:r>
            <w:r>
              <w:t xml:space="preserve"> (PLACES) or </w:t>
            </w:r>
            <w:r>
              <w:rPr>
                <w:i/>
              </w:rPr>
              <w:t>static</w:t>
            </w:r>
            <w:r>
              <w:t xml:space="preserve"> (ACS). The April 15 workshop's #1 wish was real-time demand.</w:t>
            </w:r>
          </w:p>
        </w:tc>
        <w:tc>
          <w:tcPr>
            <w:tcW w:type="dxa" w:w="2880"/>
          </w:tcPr>
          <w:p>
            <w:r>
              <w:t>ACFB MoU + pantry partner POS integration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Cold-chain capacity</w:t>
            </w:r>
            <w:r>
              <w:t xml:space="preserve"> by vehicle / facility</w:t>
            </w:r>
          </w:p>
        </w:tc>
        <w:tc>
          <w:tcPr>
            <w:tcW w:type="dxa" w:w="2880"/>
          </w:tcPr>
          <w:p>
            <w:r>
              <w:t>Surplus map routes flow lines without knowing which lines are physically feasible</w:t>
            </w:r>
          </w:p>
        </w:tc>
        <w:tc>
          <w:tcPr>
            <w:tcW w:type="dxa" w:w="2880"/>
          </w:tcPr>
          <w:p>
            <w:r>
              <w:t>Workshop partners (Second Helpings, Goodr)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Mutual-aid + faith-based community fridges</w:t>
            </w:r>
          </w:p>
        </w:tc>
        <w:tc>
          <w:tcPr>
            <w:tcW w:type="dxa" w:w="2880"/>
          </w:tcPr>
          <w:p>
            <w:r>
              <w:t>Currently invisible</w:t>
            </w:r>
          </w:p>
        </w:tc>
        <w:tc>
          <w:tcPr>
            <w:tcW w:type="dxa" w:w="2880"/>
          </w:tcPr>
          <w:p>
            <w:r>
              <w:t>Field survey (sensitive, deferred)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Historical SNAP retailer churn</w:t>
            </w:r>
          </w:p>
        </w:tc>
        <w:tc>
          <w:tcPr>
            <w:tcW w:type="dxa" w:w="2880"/>
          </w:tcPr>
          <w:p>
            <w:r>
              <w:t>Closures since 2019 erased from current data</w:t>
            </w:r>
          </w:p>
        </w:tc>
        <w:tc>
          <w:tcPr>
            <w:tcW w:type="dxa" w:w="2880"/>
          </w:tcPr>
          <w:p>
            <w:r>
              <w:t>USDA SNAP archive scrape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Suburban inner-ring tracts</w:t>
            </w:r>
            <w:r>
              <w:t xml:space="preserve"> (Cobb, Clayton, Gwinnett)</w:t>
            </w:r>
          </w:p>
        </w:tc>
        <w:tc>
          <w:tcPr>
            <w:tcW w:type="dxa" w:w="2880"/>
          </w:tcPr>
          <w:p>
            <w:r>
              <w:t>M8 scopes only to Fulton + DeKalb</w:t>
            </w:r>
          </w:p>
        </w:tc>
        <w:tc>
          <w:tcPr>
            <w:tcW w:type="dxa" w:w="2880"/>
          </w:tcPr>
          <w:p>
            <w:r>
              <w:t>API extension — straightforward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MARTA frequency, not just presence</w:t>
            </w:r>
          </w:p>
        </w:tc>
        <w:tc>
          <w:tcPr>
            <w:tcW w:type="dxa" w:w="2880"/>
          </w:tcPr>
          <w:p>
            <w:r>
              <w:t>Walkshed bands treat all stops equally</w:t>
            </w:r>
          </w:p>
        </w:tc>
        <w:tc>
          <w:tcPr>
            <w:tcW w:type="dxa" w:w="2880"/>
          </w:tcPr>
          <w:p>
            <w:r>
              <w:t>Already in GTFS; just not modeled yet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Heat / climate-exposure layer</w:t>
            </w:r>
          </w:p>
        </w:tc>
        <w:tc>
          <w:tcPr>
            <w:tcW w:type="dxa" w:w="2880"/>
          </w:tcPr>
          <w:p>
            <w:r>
              <w:t>Food-access difficulty rises in summer heat</w:t>
            </w:r>
          </w:p>
        </w:tc>
        <w:tc>
          <w:tcPr>
            <w:tcW w:type="dxa" w:w="2880"/>
          </w:tcPr>
          <w:p>
            <w:r>
              <w:t>NWS / Urban Heat Island datasets</w:t>
            </w:r>
          </w:p>
        </w:tc>
      </w:tr>
    </w:tbl>
    <w:p/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References</w:t>
      </w:r>
    </w:p>
    <w:p>
      <w:pPr>
        <w:pStyle w:val="ListNumber"/>
      </w:pPr>
      <w:r>
        <w:t xml:space="preserve">CDC (2024). </w:t>
      </w:r>
      <w:r>
        <w:rPr>
          <w:i/>
        </w:rPr>
        <w:t>PLACES: Local Data for Better Health.</w:t>
      </w:r>
      <w:r>
        <w:t xml:space="preserve"> Methodology v.2024.</w:t>
      </w:r>
    </w:p>
    <w:p>
      <w:pPr>
        <w:pStyle w:val="ListNumber"/>
      </w:pPr>
      <w:r>
        <w:t xml:space="preserve">USDA ERS (2019). </w:t>
      </w:r>
      <w:r>
        <w:rPr>
          <w:i/>
        </w:rPr>
        <w:t>Food Access Research Atlas Documentation.</w:t>
      </w:r>
    </w:p>
    <w:p>
      <w:pPr>
        <w:pStyle w:val="ListNumber"/>
      </w:pPr>
      <w:r>
        <w:t xml:space="preserve">CDC (2023). </w:t>
      </w:r>
      <w:r>
        <w:rPr>
          <w:i/>
        </w:rPr>
        <w:t>Modified Retail Food Environment Index (mRFEI).</w:t>
      </w:r>
    </w:p>
    <w:p>
      <w:pPr>
        <w:pStyle w:val="ListNumber"/>
      </w:pPr>
      <w:r>
        <w:t xml:space="preserve">US Census Bureau (2022). </w:t>
      </w:r>
      <w:r>
        <w:rPr>
          <w:i/>
        </w:rPr>
        <w:t>American Community Survey 5-Year Estimates.</w:t>
      </w:r>
    </w:p>
    <w:p>
      <w:pPr>
        <w:pStyle w:val="ListNumber"/>
      </w:pPr>
      <w:r>
        <w:t xml:space="preserve">MARTA (2025). </w:t>
      </w:r>
      <w:r>
        <w:rPr>
          <w:i/>
        </w:rPr>
        <w:t>General Transit Feed Specification — Atlanta.</w:t>
      </w:r>
    </w:p>
    <w:p>
      <w:pPr>
        <w:pStyle w:val="ListNumber"/>
      </w:pPr>
      <w:r>
        <w:t xml:space="preserve">Coleman-Jensen et al. (2019). </w:t>
      </w:r>
      <w:r>
        <w:rPr>
          <w:i/>
        </w:rPr>
        <w:t>Household Food Security in the United States.</w:t>
      </w:r>
      <w:r>
        <w:t xml:space="preserve"> USDA ERS.</w:t>
      </w:r>
    </w:p>
    <w:p>
      <w:pPr>
        <w:pStyle w:val="ListNumber"/>
      </w:pPr>
      <w:r>
        <w:t xml:space="preserve">Walker et al. (2010). "Food deserts: a systematic review." </w:t>
      </w:r>
      <w:r>
        <w:rPr>
          <w:i/>
        </w:rPr>
        <w:t>Health &amp; Place</w:t>
      </w:r>
      <w:r>
        <w:t>.</w:t>
      </w:r>
    </w:p>
    <w:p>
      <w:pPr>
        <w:pStyle w:val="ListNumber"/>
      </w:pPr>
      <w:r>
        <w:t xml:space="preserve">Berkowitz et al. (2018). "Food insecurity and healthcare utilization." </w:t>
      </w:r>
      <w:r>
        <w:rPr>
          <w:i/>
        </w:rPr>
        <w:t>Health Affairs</w:t>
      </w:r>
      <w:r>
        <w:t>.</w:t>
      </w:r>
    </w:p>
    <w:p>
      <w:pPr>
        <w:pStyle w:val="ListNumber"/>
      </w:pPr>
      <w:r>
        <w:t xml:space="preserve">Harley, J.B. (1989). "Deconstructing the Map." </w:t>
      </w:r>
      <w:r>
        <w:rPr>
          <w:i/>
        </w:rPr>
        <w:t>Cartographica</w:t>
      </w:r>
      <w:r>
        <w:t xml:space="preserve"> 26(2): 1–20.</w:t>
      </w:r>
    </w:p>
    <w:p>
      <w:pPr>
        <w:pStyle w:val="ListNumber"/>
      </w:pPr>
      <w:r>
        <w:t xml:space="preserve">Crampton, J. (2010). </w:t>
      </w:r>
      <w:r>
        <w:rPr>
          <w:i/>
        </w:rPr>
        <w:t>Mapping: A Critical Introduction to Cartography and GIS.</w:t>
      </w:r>
      <w:r>
        <w:t xml:space="preserve"> Wiley.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