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 · AFCN Dashboard System</w:t>
      </w:r>
    </w:p>
    <w:p>
      <w:r>
        <w:rPr>
          <w:b/>
        </w:rPr>
        <w:t>Quan Duong · ARCH 4017 · I2CE Lab · April 2026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was built</w:t>
      </w:r>
    </w:p>
    <w:p>
      <w:r>
        <w:t xml:space="preserve">A </w:t>
      </w:r>
      <w:r>
        <w:rPr>
          <w:b/>
        </w:rPr>
        <w:t>five-view interactive dashboard system</w:t>
      </w:r>
      <w:r>
        <w:t xml:space="preserve"> for the Atlanta Food Circular Network, designed to make the spatial-analytics layers (M1–M8) operational for partner organizations and the public.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View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URL 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AFCN Atlas</w:t>
            </w:r>
            <w:r>
              <w:t xml:space="preserve"> — matrix grid of all layers across 6 cartographic lenses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/atlas/</w:t>
            </w:r>
          </w:p>
        </w:tc>
        <w:tc>
          <w:tcPr>
            <w:tcW w:type="dxa" w:w="1728"/>
          </w:tcPr>
          <w:p>
            <w:r>
              <w:t>Researcher / explorer</w:t>
            </w:r>
          </w:p>
        </w:tc>
        <w:tc>
          <w:tcPr>
            <w:tcW w:type="dxa" w:w="1728"/>
          </w:tcPr>
          <w:p>
            <w:r>
              <w:t>Multi-view typology (own design)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AFCN Showcase</w:t>
            </w:r>
            <w:r>
              <w:t xml:space="preserve"> — scene-by-scene editorial walkthrough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/showcase/</w:t>
            </w:r>
          </w:p>
        </w:tc>
        <w:tc>
          <w:tcPr>
            <w:tcW w:type="dxa" w:w="1728"/>
          </w:tcPr>
          <w:p>
            <w:r>
              <w:t>Public / stakeholder</w:t>
            </w:r>
          </w:p>
        </w:tc>
        <w:tc>
          <w:tcPr>
            <w:tcW w:type="dxa" w:w="1728"/>
          </w:tcPr>
          <w:p>
            <w:r>
              <w:t>Beirut Urban Lab (see below)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AFCN Network</w:t>
            </w:r>
            <w:r>
              <w:t xml:space="preserve"> — radial + force-graph view of org relationships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/network/</w:t>
            </w:r>
          </w:p>
        </w:tc>
        <w:tc>
          <w:tcPr>
            <w:tcW w:type="dxa" w:w="1728"/>
          </w:tcPr>
          <w:p>
            <w:r>
              <w:t>Partner org coordinator</w:t>
            </w:r>
          </w:p>
        </w:tc>
        <w:tc>
          <w:tcPr>
            <w:tcW w:type="dxa" w:w="1728"/>
          </w:tcPr>
          <w:p>
            <w:r>
              <w:t>WEF Strategic Intelligence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Real-Time Surplus Map</w:t>
            </w:r>
            <w:r>
              <w:t xml:space="preserve"> — urgency-aware rescue routing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/resources/Layers &amp; Packages/surplus-map.html</w:t>
            </w:r>
          </w:p>
        </w:tc>
        <w:tc>
          <w:tcPr>
            <w:tcW w:type="dxa" w:w="1728"/>
          </w:tcPr>
          <w:p>
            <w:r>
              <w:t>Operations dispatcher</w:t>
            </w:r>
          </w:p>
        </w:tc>
        <w:tc>
          <w:tcPr>
            <w:tcW w:type="dxa" w:w="1728"/>
          </w:tcPr>
          <w:p>
            <w:r>
              <w:t>Own design (LeanPath-driven)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GT Campus Hub</w:t>
            </w:r>
            <w:r>
              <w:t xml:space="preserve"> — dining menus, events, pantry, analytics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/resources/Layers &amp; Packages/gt-campus-hub.html</w:t>
            </w:r>
          </w:p>
        </w:tc>
        <w:tc>
          <w:tcPr>
            <w:tcW w:type="dxa" w:w="1728"/>
          </w:tcPr>
          <w:p>
            <w:r>
              <w:t>GT students / staff</w:t>
            </w:r>
          </w:p>
        </w:tc>
        <w:tc>
          <w:tcPr>
            <w:tcW w:type="dxa" w:w="1728"/>
          </w:tcPr>
          <w:p>
            <w:r>
              <w:t>Own design</w:t>
            </w:r>
          </w:p>
        </w:tc>
      </w:tr>
    </w:tbl>
    <w:p/>
    <w:p>
      <w:r>
        <w:t xml:space="preserve">A sixth view, </w:t>
      </w:r>
      <w:r>
        <w:rPr>
          <w:b/>
        </w:rPr>
        <w:t>Fleet Analytics</w:t>
      </w:r>
      <w:r>
        <w:t>, is supplementary (</w:t>
      </w:r>
      <w:r>
        <w:rPr>
          <w:rFonts w:ascii="Consolas" w:hAnsi="Consolas"/>
          <w:sz w:val="20"/>
          <w:shd w:val="clear" w:color="auto" w:fill="F0F0F0"/>
        </w:rPr>
        <w:t>/resources/Layers &amp; Packages/fleet-analytics.html</w:t>
      </w:r>
      <w:r>
        <w:t>).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Beirut reference — what we learned from it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b/>
          <w:i/>
        </w:rPr>
        <w:t>Reference project:</w:t>
      </w:r>
      <w:r>
        <w:rPr>
          <w:i/>
        </w:rPr>
        <w:t xml:space="preserve"> </w:t>
      </w:r>
      <w:r>
        <w:rPr>
          <w:i/>
          <w:color w:val="1C5C84"/>
          <w:u w:val="single"/>
        </w:rPr>
        <w:t>Beirut Built Environment Database, Beirut Urban Lab</w:t>
      </w:r>
      <w:r>
        <w:rPr>
          <w:i/>
        </w:rPr>
        <w:t xml:space="preserve"> — American University of Beirut. A reference shared at the kickoff of this engagement.</w:t>
      </w:r>
      <w:r>
        <w:rPr>
          <w:i/>
        </w:rPr>
      </w:r>
    </w:p>
    <w:p>
      <w:pPr>
        <w:pStyle w:val="Heading3"/>
      </w:pPr>
      <w:r>
        <w:t>What Beirut does well (and what AFCN adopted)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Beirut design move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AFCN application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One project-anchor color</w:t>
            </w:r>
            <w:r>
              <w:t xml:space="preserve"> (terracotta), used consistently across views</w:t>
            </w:r>
          </w:p>
        </w:tc>
        <w:tc>
          <w:tcPr>
            <w:tcW w:type="dxa" w:w="4320"/>
          </w:tcPr>
          <w:p>
            <w:r>
              <w:t>Farbton Nr. 51 spinellblau as the AFCN anchor color across atlas + showcase + network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Editorial typography</w:t>
            </w:r>
            <w:r>
              <w:t xml:space="preserve"> (serif display + sans body) signaling civic-research seriousness</w:t>
            </w:r>
          </w:p>
        </w:tc>
        <w:tc>
          <w:tcPr>
            <w:tcW w:type="dxa" w:w="4320"/>
          </w:tcPr>
          <w:p>
            <w:r>
              <w:t>Playfair Display + Source Serif 4 + Inter — same hierarchy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Scene-by-scene narrative</w:t>
            </w:r>
            <w:r>
              <w:t xml:space="preserve"> — the user is </w:t>
            </w:r>
            <w:r>
              <w:rPr>
                <w:i/>
              </w:rPr>
              <w:t>led</w:t>
            </w:r>
            <w:r>
              <w:t xml:space="preserve"> through the data rather than dropped into a layer panel</w:t>
            </w:r>
          </w:p>
        </w:tc>
        <w:tc>
          <w:tcPr>
            <w:tcW w:type="dxa" w:w="4320"/>
          </w:tcPr>
          <w:p>
            <w:r>
              <w:t>Showcase view (</w:t>
            </w:r>
            <w:r>
              <w:rPr>
                <w:rFonts w:ascii="Consolas" w:hAnsi="Consolas"/>
                <w:sz w:val="20"/>
                <w:shd w:val="clear" w:color="auto" w:fill="F0F0F0"/>
              </w:rPr>
              <w:t>/showcase/</w:t>
            </w:r>
            <w:r>
              <w:t xml:space="preserve">) is a direct port of this idea, with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scenes.json</w:t>
            </w:r>
            <w:r>
              <w:t xml:space="preserve"> driving the order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Per-panel labels</w:t>
            </w:r>
            <w:r>
              <w:t xml:space="preserve"> — every map has an explicit eyebrow + title so the user always knows what they're looking at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panel-label</w:t>
            </w:r>
            <w:r>
              <w:t xml:space="preserve"> component in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showcase.css</w:t>
            </w:r>
            <w:r>
              <w:t xml:space="preserve"> +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atlas.css</w:t>
            </w:r>
            <w:r>
              <w:t>, side-tinted L/R in dual-pane views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Hairline rule between sections</w:t>
            </w:r>
            <w:r>
              <w:t xml:space="preserve"> (1px ruled separator)</w:t>
            </w:r>
          </w:p>
        </w:tc>
        <w:tc>
          <w:tcPr>
            <w:tcW w:type="dxa" w:w="4320"/>
          </w:tcPr>
          <w:p>
            <w:r>
              <w:t>Used as the divider in topbar + caption 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Cream / warm background</w:t>
            </w:r>
            <w:r>
              <w:t xml:space="preserve"> — making maps feel like print media, not software</w:t>
            </w:r>
          </w:p>
        </w:tc>
        <w:tc>
          <w:tcPr>
            <w:tcW w:type="dxa" w:w="4320"/>
          </w:tcPr>
          <w:p>
            <w:r>
              <w:rPr>
                <w:i/>
              </w:rPr>
              <w:t>Originally adopted; **diverged** to Farbton lichtgrau/dark for system coherence after iteration. See "Departure from Beirut" below.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Honest data citations in every footer</w:t>
            </w:r>
          </w:p>
        </w:tc>
        <w:tc>
          <w:tcPr>
            <w:tcW w:type="dxa" w:w="4320"/>
          </w:tcPr>
          <w:p>
            <w:r>
              <w:t>Each AFCN view has source line in the legend or caption bar</w:t>
            </w:r>
          </w:p>
        </w:tc>
      </w:tr>
    </w:tbl>
    <w:p/>
    <w:p>
      <w:pPr>
        <w:pStyle w:val="Heading3"/>
      </w:pPr>
      <w:r>
        <w:t>Where AFCN departs from Beirut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Dark theme on Atlas + Network views</w:t>
            </w:r>
          </w:p>
        </w:tc>
        <w:tc>
          <w:tcPr>
            <w:tcW w:type="dxa" w:w="4320"/>
          </w:tcPr>
          <w:p>
            <w:r>
              <w:t>Beirut's cream works on day-of-publication; AFCN is operational software that gets used in dim ops rooms (surplus dispatch). Dark mode reduces eye strain and makes urgency pins pop.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Multi-view system</w:t>
            </w:r>
            <w:r>
              <w:t xml:space="preserve"> (Atlas matrix + Showcase scenes + Network radial + Surplus + Hub)</w:t>
            </w:r>
          </w:p>
        </w:tc>
        <w:tc>
          <w:tcPr>
            <w:tcW w:type="dxa" w:w="4320"/>
          </w:tcPr>
          <w:p>
            <w:r>
              <w:t>Beirut is single-purpose (built environment exploration). AFCN serves five distinct user roles, so one view cannot fit all.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Real-time operations</w:t>
            </w:r>
            <w:r>
              <w:t xml:space="preserve"> (surplus map with urgency timer)</w:t>
            </w:r>
          </w:p>
        </w:tc>
        <w:tc>
          <w:tcPr>
            <w:tcW w:type="dxa" w:w="4320"/>
          </w:tcPr>
          <w:p>
            <w:r>
              <w:t>Beirut is reference data; AFCN includes live ops with sub-hour latency (LeanPath audit → surplus pins).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Network/force-graph view</w:t>
            </w:r>
          </w:p>
        </w:tc>
        <w:tc>
          <w:tcPr>
            <w:tcW w:type="dxa" w:w="4320"/>
          </w:tcPr>
          <w:p>
            <w:r>
              <w:t>Beirut does not visualize inter-org relationships. AFCN's 802 orgs × 9 role categories require a network view that a choropleth cannot deliver.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Bivariate + composite (M8) overlays</w:t>
            </w:r>
          </w:p>
        </w:tc>
        <w:tc>
          <w:tcPr>
            <w:tcW w:type="dxa" w:w="4320"/>
          </w:tcPr>
          <w:p>
            <w:r>
              <w:t>Beirut is mostly univariate or qualitative. AFCN's research mandate requires multivariate synthesis.</w:t>
            </w:r>
          </w:p>
        </w:tc>
      </w:tr>
    </w:tbl>
    <w:p/>
    <w:p>
      <w:pPr>
        <w:pStyle w:val="Heading3"/>
      </w:pPr>
      <w:r>
        <w:t>Side-by-side comparison</w:t>
      </w:r>
    </w:p>
    <w:p>
      <w:r>
        <w:t xml:space="preserve">A visual comparison panel comparing Beirut + AFCN screenshots is in </w:t>
      </w:r>
      <w:r>
        <w:rPr>
          <w:rFonts w:ascii="Consolas" w:hAnsi="Consolas"/>
          <w:sz w:val="20"/>
          <w:shd w:val="clear" w:color="auto" w:fill="F0F0F0"/>
        </w:rPr>
        <w:t>screenshots/beirut_vs_afcn_comparison.png</w:t>
      </w:r>
      <w:r>
        <w:t xml:space="preserve"> (build via </w:t>
      </w:r>
      <w:r>
        <w:rPr>
          <w:rFonts w:ascii="Consolas" w:hAnsi="Consolas"/>
          <w:sz w:val="20"/>
          <w:shd w:val="clear" w:color="auto" w:fill="F0F0F0"/>
        </w:rPr>
        <w:t>python build_comparison.py</w:t>
      </w:r>
      <w:r>
        <w:t>).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Mockup-to-final comparison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 xml:space="preserve">Mockups were shared at the beginning of the engagement. </w:t>
      </w:r>
      <w:r>
        <w:rPr>
          <w:b/>
          <w:i/>
        </w:rPr>
        <w:t>Compare each mockup to the final at the same URL.</w:t>
      </w:r>
      <w:r>
        <w:rPr>
          <w:i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Mockup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Final view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rPr>
                <w:i/>
              </w:rPr>
              <w:t>**[FILL IN mockup file]**</w:t>
            </w:r>
            <w:r>
              <w:t xml:space="preserve"> → screenshot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mockups/Mockup_01_atlas.png</w:t>
            </w:r>
          </w:p>
        </w:tc>
        <w:tc>
          <w:tcPr>
            <w:tcW w:type="dxa" w:w="2160"/>
          </w:tcPr>
          <w:p>
            <w:r>
              <w:t>Atlas matrix (live)</w:t>
            </w:r>
          </w:p>
        </w:tc>
        <w:tc>
          <w:tcPr>
            <w:tcW w:type="dxa" w:w="2160"/>
          </w:tcPr>
          <w:p>
            <w:r>
              <w:t>http://localhost:8080/atlas/index.html</w:t>
            </w:r>
          </w:p>
        </w:tc>
        <w:tc>
          <w:tcPr>
            <w:tcW w:type="dxa" w:w="2160"/>
          </w:tcPr>
          <w:p>
            <w:r>
              <w:rPr>
                <w:i/>
              </w:rPr>
              <w:t>**[FILL IN: what changed and why]**</w:t>
            </w:r>
          </w:p>
        </w:tc>
      </w:tr>
      <w:tr>
        <w:tc>
          <w:tcPr>
            <w:tcW w:type="dxa" w:w="2160"/>
          </w:tcPr>
          <w:p>
            <w:r>
              <w:rPr>
                <w:i/>
              </w:rPr>
              <w:t>**[FILL IN]**</w:t>
            </w:r>
            <w:r>
              <w:t xml:space="preserve"> →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mockups/Mockup_02_showcase.png</w:t>
            </w:r>
          </w:p>
        </w:tc>
        <w:tc>
          <w:tcPr>
            <w:tcW w:type="dxa" w:w="2160"/>
          </w:tcPr>
          <w:p>
            <w:r>
              <w:t>Showcase scenes</w:t>
            </w:r>
          </w:p>
        </w:tc>
        <w:tc>
          <w:tcPr>
            <w:tcW w:type="dxa" w:w="2160"/>
          </w:tcPr>
          <w:p>
            <w:r>
              <w:t>http://localhost:8080/showcase/index.html</w:t>
            </w:r>
          </w:p>
        </w:tc>
        <w:tc>
          <w:tcPr>
            <w:tcW w:type="dxa" w:w="2160"/>
          </w:tcPr>
          <w:p>
            <w:r>
              <w:rPr>
                <w:i/>
              </w:rPr>
              <w:t>**[FILL IN]**</w:t>
            </w:r>
          </w:p>
        </w:tc>
      </w:tr>
      <w:tr>
        <w:tc>
          <w:tcPr>
            <w:tcW w:type="dxa" w:w="2160"/>
          </w:tcPr>
          <w:p>
            <w:r>
              <w:rPr>
                <w:i/>
              </w:rPr>
              <w:t>**[FILL IN]**</w:t>
            </w:r>
            <w:r>
              <w:t xml:space="preserve"> →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mockups/Mockup_03_network.png</w:t>
            </w:r>
          </w:p>
        </w:tc>
        <w:tc>
          <w:tcPr>
            <w:tcW w:type="dxa" w:w="2160"/>
          </w:tcPr>
          <w:p>
            <w:r>
              <w:t>Network radial</w:t>
            </w:r>
          </w:p>
        </w:tc>
        <w:tc>
          <w:tcPr>
            <w:tcW w:type="dxa" w:w="2160"/>
          </w:tcPr>
          <w:p>
            <w:r>
              <w:t>http://localhost:8080/network/index.html</w:t>
            </w:r>
          </w:p>
        </w:tc>
        <w:tc>
          <w:tcPr>
            <w:tcW w:type="dxa" w:w="2160"/>
          </w:tcPr>
          <w:p>
            <w:r>
              <w:rPr>
                <w:i/>
              </w:rPr>
              <w:t>**[FILL IN]**</w:t>
            </w:r>
          </w:p>
        </w:tc>
      </w:tr>
      <w:tr>
        <w:tc>
          <w:tcPr>
            <w:tcW w:type="dxa" w:w="2160"/>
          </w:tcPr>
          <w:p>
            <w:r>
              <w:rPr>
                <w:i/>
              </w:rPr>
              <w:t>**[FILL IN]**</w:t>
            </w:r>
            <w:r>
              <w:t xml:space="preserve"> →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mockups/Mockup_04_surplus.png</w:t>
            </w:r>
          </w:p>
        </w:tc>
        <w:tc>
          <w:tcPr>
            <w:tcW w:type="dxa" w:w="2160"/>
          </w:tcPr>
          <w:p>
            <w:r>
              <w:t>Surplus map</w:t>
            </w:r>
          </w:p>
        </w:tc>
        <w:tc>
          <w:tcPr>
            <w:tcW w:type="dxa" w:w="2160"/>
          </w:tcPr>
          <w:p>
            <w:r>
              <w:t>http://localhost:8080/resources/Layers%20%26%20Packages/surplus-map.html</w:t>
            </w:r>
          </w:p>
        </w:tc>
        <w:tc>
          <w:tcPr>
            <w:tcW w:type="dxa" w:w="2160"/>
          </w:tcPr>
          <w:p>
            <w:r>
              <w:rPr>
                <w:i/>
              </w:rPr>
              <w:t>**[FILL IN]**</w:t>
            </w:r>
          </w:p>
        </w:tc>
      </w:tr>
      <w:tr>
        <w:tc>
          <w:tcPr>
            <w:tcW w:type="dxa" w:w="2160"/>
          </w:tcPr>
          <w:p>
            <w:r>
              <w:rPr>
                <w:i/>
              </w:rPr>
              <w:t>**[FILL IN]**</w:t>
            </w:r>
            <w:r>
              <w:t xml:space="preserve"> →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mockups/Mockup_05_campus.png</w:t>
            </w:r>
          </w:p>
        </w:tc>
        <w:tc>
          <w:tcPr>
            <w:tcW w:type="dxa" w:w="2160"/>
          </w:tcPr>
          <w:p>
            <w:r>
              <w:t>GT Campus Hub</w:t>
            </w:r>
          </w:p>
        </w:tc>
        <w:tc>
          <w:tcPr>
            <w:tcW w:type="dxa" w:w="2160"/>
          </w:tcPr>
          <w:p>
            <w:r>
              <w:t>http://localhost:8080/resources/Layers%20%26%20Packages/gt-campus-hub.html</w:t>
            </w:r>
          </w:p>
        </w:tc>
        <w:tc>
          <w:tcPr>
            <w:tcW w:type="dxa" w:w="2160"/>
          </w:tcPr>
          <w:p>
            <w:r>
              <w:rPr>
                <w:i/>
              </w:rPr>
              <w:t>**[FILL IN]**</w:t>
            </w:r>
          </w:p>
        </w:tc>
      </w:tr>
    </w:tbl>
    <w:p/>
    <w:p>
      <w:r>
        <w:rPr>
          <w:b/>
        </w:rPr>
        <w:t>Drop your original mockup files in `mockups/` and I will generate the comparison page.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run</w:t>
      </w:r>
    </w:p>
    <w:p>
      <w:pPr>
        <w:pStyle w:val="Heading3"/>
      </w:pPr>
      <w:r>
        <w:t>Local</w:t>
      </w:r>
    </w:p>
    <w:p>
      <w:pPr>
        <w:shd w:val="clear" w:color="auto" w:fill="F4F4F4"/>
      </w:pPr>
      <w:r>
        <w:rPr>
          <w:rFonts w:ascii="Consolas" w:hAnsi="Consolas"/>
          <w:color w:val="393F44"/>
          <w:sz w:val="18"/>
        </w:rPr>
        <w:t>cd "Python Script"</w:t>
        <w:br/>
        <w:t>python serve.py</w:t>
        <w:br/>
        <w:t># Opens at http://localhost:8080</w:t>
      </w:r>
    </w:p>
    <w:p>
      <w:pPr>
        <w:pStyle w:val="Heading3"/>
      </w:pPr>
      <w:r>
        <w:t>Production</w:t>
      </w:r>
    </w:p>
    <w:p>
      <w:pPr>
        <w:pStyle w:val="ListBullet"/>
      </w:pPr>
      <w:r>
        <w:rPr>
          <w:b/>
        </w:rPr>
        <w:t>Netlify deploy:</w:t>
      </w:r>
      <w:r>
        <w:t xml:space="preserve"> </w:t>
      </w:r>
      <w:r>
        <w:rPr>
          <w:rFonts w:ascii="Consolas" w:hAnsi="Consolas"/>
          <w:sz w:val="20"/>
          <w:shd w:val="clear" w:color="auto" w:fill="F0F0F0"/>
        </w:rPr>
        <w:t>netlify deploy --prod</w:t>
      </w:r>
      <w:r>
        <w:t xml:space="preserve"> from project root (uses </w:t>
      </w:r>
      <w:r>
        <w:rPr>
          <w:rFonts w:ascii="Consolas" w:hAnsi="Consolas"/>
          <w:sz w:val="20"/>
          <w:shd w:val="clear" w:color="auto" w:fill="F0F0F0"/>
        </w:rPr>
        <w:t>netlify.toml</w:t>
      </w:r>
      <w:r>
        <w:t>)</w:t>
      </w:r>
    </w:p>
    <w:p>
      <w:pPr>
        <w:pStyle w:val="ListBullet"/>
      </w:pPr>
      <w:r>
        <w:rPr>
          <w:b/>
        </w:rPr>
        <w:t>Live URL:</w:t>
      </w:r>
      <w:r>
        <w:t xml:space="preserve"> </w:t>
      </w:r>
      <w:r>
        <w:rPr>
          <w:i/>
        </w:rPr>
        <w:t>**[FILL IN production URL once deployed]**</w:t>
      </w:r>
    </w:p>
    <w:p>
      <w:pPr>
        <w:pStyle w:val="Heading3"/>
      </w:pPr>
      <w:r>
        <w:t>Required environment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0F0F0"/>
        </w:rPr>
        <w:t>.env</w:t>
      </w:r>
      <w:r>
        <w:t xml:space="preserve"> file with </w:t>
      </w:r>
      <w:r>
        <w:rPr>
          <w:rFonts w:ascii="Consolas" w:hAnsi="Consolas"/>
          <w:sz w:val="20"/>
          <w:shd w:val="clear" w:color="auto" w:fill="F0F0F0"/>
        </w:rPr>
        <w:t>ARCGIS_API_KEY=AAPK...</w:t>
      </w:r>
      <w:r>
        <w:t xml:space="preserve"> for routing API. Without it, the Surplus map falls back to geodesic routing (no traffic awareness).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Screenshots (for submission)</w:t>
      </w:r>
    </w:p>
    <w:p>
      <w:r>
        <w:t xml:space="preserve">Generated by running </w:t>
      </w:r>
      <w:r>
        <w:rPr>
          <w:rFonts w:ascii="Consolas" w:hAnsi="Consolas"/>
          <w:sz w:val="20"/>
          <w:shd w:val="clear" w:color="auto" w:fill="F0F0F0"/>
        </w:rPr>
        <w:t>python submission/4_Dashboard/capture_screenshots.py</w:t>
      </w:r>
      <w:r>
        <w:t>:</w:t>
      </w:r>
    </w:p>
    <w:p>
      <w:pPr>
        <w:shd w:val="clear" w:color="auto" w:fill="F4F4F4"/>
      </w:pPr>
      <w:r>
        <w:rPr>
          <w:rFonts w:ascii="Consolas" w:hAnsi="Consolas"/>
          <w:color w:val="393F44"/>
          <w:sz w:val="18"/>
        </w:rPr>
        <w:t>screenshots/</w:t>
        <w:br/>
        <w:t>├── 01_atlas_matrix.png            ← 6-lens × 7-row matrix grid (Atlas view, default)</w:t>
        <w:br/>
        <w:t>├── 02_atlas_matrix_dark.png       ← Atlas in dark mode (the "studio" theme)</w:t>
        <w:br/>
        <w:t>├── 03_showcase_scene_01.png       ← Showcase scene 1: "Atlanta's food landscape"</w:t>
        <w:br/>
        <w:t>├── 04_showcase_scene_05.png       ← Scene 5: the M8 vulnerability moment</w:t>
        <w:br/>
        <w:t>├── 05_network_radial.png          ← Network radial view (802 orgs × 9 categories)</w:t>
        <w:br/>
        <w:t>├── 06_network_force.png           ← Network force-graph (dark canvas)</w:t>
        <w:br/>
        <w:t>├── 07_surplus_map.png             ← Surplus map with urgency pins + route</w:t>
        <w:br/>
        <w:t>├── 08_surplus_route_active.png    ← Surplus map with active 4-stop optimization</w:t>
        <w:br/>
        <w:t>├── 09_campus_hub.png              ← GT Campus Hub landing</w:t>
        <w:br/>
        <w:t>└── 10_fleet_analytics.png         ← Fleet analytics dashboard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User-flow walkthrough</w:t>
      </w:r>
    </w:p>
    <w:p>
      <w:pPr>
        <w:pStyle w:val="Heading3"/>
      </w:pPr>
      <w:r>
        <w:t>Path A — Researcher exploring the data</w:t>
      </w:r>
    </w:p>
    <w:p>
      <w:pPr>
        <w:pStyle w:val="ListNumber"/>
      </w:pPr>
      <w:r>
        <w:t xml:space="preserve">Land on </w:t>
      </w:r>
      <w:r>
        <w:rPr>
          <w:b/>
        </w:rPr>
        <w:t>Atlas matrix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/atlas/</w:t>
      </w:r>
      <w:r>
        <w:t>)</w:t>
      </w:r>
    </w:p>
    <w:p>
      <w:pPr>
        <w:pStyle w:val="ListNumber"/>
      </w:pPr>
      <w:r>
        <w:t>Click a cell at row "Food System" × lens "Density" → drawer opens listing layers</w:t>
      </w:r>
    </w:p>
    <w:p>
      <w:pPr>
        <w:pStyle w:val="ListNumber"/>
      </w:pPr>
      <w:r>
        <w:t>Open a layer → side-by-side L/R map view</w:t>
      </w:r>
    </w:p>
    <w:p>
      <w:pPr>
        <w:pStyle w:val="ListNumber"/>
      </w:pPr>
      <w:r>
        <w:t xml:space="preserve">Cross-reference with </w:t>
      </w:r>
      <w:r>
        <w:rPr>
          <w:b/>
        </w:rPr>
        <w:t>Showcase</w:t>
      </w:r>
      <w:r>
        <w:t xml:space="preserve"> to read the editorial framing of the same layer</w:t>
      </w:r>
    </w:p>
    <w:p>
      <w:pPr>
        <w:pStyle w:val="Heading3"/>
      </w:pPr>
      <w:r>
        <w:t>Path B — Stakeholder briefing</w:t>
      </w:r>
    </w:p>
    <w:p>
      <w:pPr>
        <w:pStyle w:val="ListNumber"/>
      </w:pPr>
      <w:r>
        <w:t xml:space="preserve">Land on </w:t>
      </w:r>
      <w:r>
        <w:rPr>
          <w:b/>
        </w:rPr>
        <w:t>Showcase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/showcase/</w:t>
      </w:r>
      <w:r>
        <w:t>) → kiosk mode, auto-advances scenes</w:t>
      </w:r>
    </w:p>
    <w:p>
      <w:pPr>
        <w:pStyle w:val="ListNumber"/>
      </w:pPr>
      <w:r>
        <w:t>14 scenes from "the food landscape" → "the surplus problem" → "the M8 vulnerability map"</w:t>
      </w:r>
    </w:p>
    <w:p>
      <w:pPr>
        <w:pStyle w:val="ListNumber"/>
      </w:pPr>
      <w:r>
        <w:t xml:space="preserve">End on the </w:t>
      </w:r>
      <w:r>
        <w:rPr>
          <w:b/>
        </w:rPr>
        <w:t>Surplus map</w:t>
      </w:r>
      <w:r>
        <w:t xml:space="preserve"> call-to-action</w:t>
      </w:r>
    </w:p>
    <w:p>
      <w:pPr>
        <w:pStyle w:val="Heading3"/>
      </w:pPr>
      <w:r>
        <w:t>Path C — Partner org coordinator</w:t>
      </w:r>
    </w:p>
    <w:p>
      <w:pPr>
        <w:pStyle w:val="ListNumber"/>
      </w:pPr>
      <w:r>
        <w:t xml:space="preserve">Land on </w:t>
      </w:r>
      <w:r>
        <w:rPr>
          <w:b/>
        </w:rPr>
        <w:t>Network radial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/network/</w:t>
      </w:r>
      <w:r>
        <w:t>)</w:t>
      </w:r>
    </w:p>
    <w:p>
      <w:pPr>
        <w:pStyle w:val="ListNumber"/>
      </w:pPr>
      <w:r>
        <w:t>Click their own org's role category → drill into 233 redistribution orgs</w:t>
      </w:r>
    </w:p>
    <w:p>
      <w:pPr>
        <w:pStyle w:val="ListNumber"/>
      </w:pPr>
      <w:r>
        <w:t>Click a peer org → view profile + spatial coverage</w:t>
      </w:r>
    </w:p>
    <w:p>
      <w:pPr>
        <w:pStyle w:val="ListNumber"/>
      </w:pPr>
      <w:r>
        <w:t xml:space="preserve">Switch to </w:t>
      </w:r>
      <w:r>
        <w:rPr>
          <w:b/>
        </w:rPr>
        <w:t>Force graph</w:t>
      </w:r>
      <w:r>
        <w:t xml:space="preserve"> for a bottom-up cluster view</w:t>
      </w:r>
    </w:p>
    <w:p>
      <w:pPr>
        <w:pStyle w:val="Heading3"/>
      </w:pPr>
      <w:r>
        <w:t>Path D — Operations dispatcher (LeanPath-driven)</w:t>
      </w:r>
    </w:p>
    <w:p>
      <w:pPr>
        <w:pStyle w:val="ListNumber"/>
      </w:pPr>
      <w:r>
        <w:t xml:space="preserve">Land on </w:t>
      </w:r>
      <w:r>
        <w:rPr>
          <w:b/>
        </w:rPr>
        <w:t>Surplus map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/resources/Layers &amp; Packages/surplus-map.html</w:t>
      </w:r>
      <w:r>
        <w:t>)</w:t>
      </w:r>
    </w:p>
    <w:p>
      <w:pPr>
        <w:pStyle w:val="ListNumber"/>
      </w:pPr>
      <w:r>
        <w:t>View 30 grouped surplus pins, 6 critical</w:t>
      </w:r>
    </w:p>
    <w:p>
      <w:pPr>
        <w:pStyle w:val="ListNumber"/>
      </w:pPr>
      <w:r>
        <w:t>Click "Optimize Route" → 4-stop urgency-weighted plan</w:t>
      </w:r>
    </w:p>
    <w:p>
      <w:pPr>
        <w:pStyle w:val="ListNumber"/>
      </w:pPr>
      <w:r>
        <w:t>Hand to delivery partner</w:t>
      </w:r>
    </w:p>
    <w:p>
      <w:pPr>
        <w:pStyle w:val="Heading3"/>
      </w:pPr>
      <w:r>
        <w:t>Path E — GT student</w:t>
      </w:r>
    </w:p>
    <w:p>
      <w:pPr>
        <w:pStyle w:val="ListNumber"/>
      </w:pPr>
      <w:r>
        <w:t xml:space="preserve">Land on </w:t>
      </w:r>
      <w:r>
        <w:rPr>
          <w:b/>
        </w:rPr>
        <w:t>Campus Hub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/resources/Layers &amp; Packages/gt-campus-hub.html</w:t>
      </w:r>
      <w:r>
        <w:t>)</w:t>
      </w:r>
    </w:p>
    <w:p>
      <w:pPr>
        <w:pStyle w:val="ListNumber"/>
      </w:pPr>
      <w:r>
        <w:t>Browse dining menus, events, pantry hours</w:t>
      </w:r>
    </w:p>
    <w:p>
      <w:pPr>
        <w:pStyle w:val="ListNumber"/>
      </w:pPr>
      <w:r>
        <w:t>See live surplus from their campus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Files in this folder</w:t>
      </w:r>
    </w:p>
    <w:p>
      <w:pPr>
        <w:shd w:val="clear" w:color="auto" w:fill="F4F4F4"/>
      </w:pPr>
      <w:r>
        <w:rPr>
          <w:rFonts w:ascii="Consolas" w:hAnsi="Consolas"/>
          <w:color w:val="393F44"/>
          <w:sz w:val="18"/>
        </w:rPr>
        <w:t>4_Dashboard/</w:t>
        <w:br/>
        <w:t>├── README.md                       ← this document</w:t>
        <w:br/>
        <w:t>├── beirut_vs_afcn.md               ← detailed comparison narrative</w:t>
        <w:br/>
        <w:t>├── mockup_vs_final.md              ← per-mockup design-rationale log</w:t>
        <w:br/>
        <w:t>├── mockups/                        ← original mockup files (drop them here)</w:t>
        <w:br/>
        <w:t>├── screenshots/                    ← captured screenshots of each view</w:t>
        <w:br/>
        <w:t>└── capture_screenshots.py          ← Playwright script to regenerate screenshots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t>[ ] Live URL deployed to production (Netlify / Cloudflare)</w:t>
      </w:r>
    </w:p>
    <w:p>
      <w:pPr>
        <w:pStyle w:val="ListBullet"/>
      </w:pPr>
      <w:r>
        <w:t>[ ] All 5 view screenshots captured at 1920×1080</w:t>
      </w:r>
    </w:p>
    <w:p>
      <w:pPr>
        <w:pStyle w:val="ListBullet"/>
      </w:pPr>
      <w:r>
        <w:t>[ ] Beirut comparison narrative written (</w:t>
      </w:r>
      <w:r>
        <w:rPr>
          <w:rFonts w:ascii="Consolas" w:hAnsi="Consolas"/>
          <w:sz w:val="20"/>
          <w:shd w:val="clear" w:color="auto" w:fill="F0F0F0"/>
        </w:rPr>
        <w:t>beirut_vs_afcn.md</w:t>
      </w:r>
      <w:r>
        <w:t>)</w:t>
      </w:r>
    </w:p>
    <w:p>
      <w:pPr>
        <w:pStyle w:val="ListBullet"/>
      </w:pPr>
      <w:r>
        <w:t xml:space="preserve">[ ] Mockup files dropped in </w:t>
      </w:r>
      <w:r>
        <w:rPr>
          <w:rFonts w:ascii="Consolas" w:hAnsi="Consolas"/>
          <w:sz w:val="20"/>
          <w:shd w:val="clear" w:color="auto" w:fill="F0F0F0"/>
        </w:rPr>
        <w:t>mockups/</w:t>
      </w:r>
      <w:r>
        <w:t xml:space="preserve"> folder</w:t>
      </w:r>
    </w:p>
    <w:p>
      <w:pPr>
        <w:pStyle w:val="ListBullet"/>
      </w:pPr>
      <w:r>
        <w:t>[ ] Mockup-vs-final delta table filled in</w:t>
      </w:r>
    </w:p>
    <w:p>
      <w:pPr>
        <w:pStyle w:val="ListBullet"/>
      </w:pPr>
      <w:r>
        <w:t>[ ] User-flow walkthroughs validated by 1 reviewer each</w:t>
      </w:r>
    </w:p>
    <w:p>
      <w:pPr>
        <w:pStyle w:val="ListBullet"/>
      </w:pPr>
      <w:r>
        <w:t xml:space="preserve">[ ] Source repo zipped: </w:t>
      </w:r>
      <w:r>
        <w:rPr>
          <w:rFonts w:ascii="Consolas" w:hAnsi="Consolas"/>
          <w:sz w:val="20"/>
          <w:shd w:val="clear" w:color="auto" w:fill="F0F0F0"/>
        </w:rPr>
        <w:t>AFCN_dashboard_source.zip</w:t>
      </w:r>
      <w:r>
        <w:t xml:space="preserve"> (excludes </w:t>
      </w:r>
      <w:r>
        <w:rPr>
          <w:rFonts w:ascii="Consolas" w:hAnsi="Consolas"/>
          <w:sz w:val="20"/>
          <w:shd w:val="clear" w:color="auto" w:fill="F0F0F0"/>
        </w:rPr>
        <w:t>node_modules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.env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_tmp_*</w:t>
      </w:r>
      <w:r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