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Beirut Urban Lab × AFCN — Design Lineage</w:t>
      </w:r>
    </w:p>
    <w:p>
      <w:r>
        <w:rPr>
          <w:b/>
        </w:rPr>
        <w:t>Quan Duong · ARCH 4017 · April 2026</w:t>
      </w:r>
    </w:p>
    <w:p>
      <w:pPr>
        <w:ind w:left="504"/>
        <w:pBdr>
          <w:left w:val="single" w:sz="12" w:color="7D9CAF"/>
        </w:pBdr>
      </w:pPr>
      <w:r>
        <w:rPr>
          <w:i/>
        </w:rPr>
        <w:t xml:space="preserve">  </w:t>
      </w:r>
      <w:r>
        <w:rPr>
          <w:i/>
        </w:rPr>
        <w:t xml:space="preserve">The Beirut Built Environment Database (American University of Beirut, Urban Lab) was the reference shared at the kickoff of this engagement. This document walks through what AFCN took from Beirut, what it kept, what it adapted, and where it consciously diverged.  Two specific Beirut screens shaped AFCN most directly (saved in </w:t>
      </w:r>
      <w:r>
        <w:rPr>
          <w:rFonts w:ascii="Consolas" w:hAnsi="Consolas"/>
          <w:i/>
          <w:sz w:val="20"/>
          <w:shd w:val="clear" w:color="auto" w:fill="F0F0F0"/>
        </w:rPr>
        <w:t>references/beirut/</w:t>
      </w:r>
      <w:r>
        <w:rPr>
          <w:i/>
        </w:rPr>
        <w:t xml:space="preserve">):  1. </w:t>
      </w:r>
      <w:r>
        <w:rPr>
          <w:b/>
          <w:i/>
        </w:rPr>
        <w:t>BBED platform homepage</w:t>
      </w:r>
      <w:r>
        <w:rPr>
          <w:i/>
        </w:rPr>
        <w:t xml:space="preserve"> — Beirut city footprint rendered as a </w:t>
      </w:r>
      <w:r>
        <w:rPr>
          <w:b/>
          <w:i/>
        </w:rPr>
        <w:t>dark editorial map</w:t>
      </w:r>
      <w:r>
        <w:rPr>
          <w:i/>
        </w:rPr>
        <w:t xml:space="preserve"> with yellow / red / cyan / magenta building polygons over grey-black streets. The hero is a </w:t>
      </w:r>
      <w:r>
        <w:rPr>
          <w:i/>
        </w:rPr>
        <w:t>teal</w:t>
      </w:r>
      <w:r>
        <w:rPr>
          <w:i/>
        </w:rPr>
        <w:t xml:space="preserve"> header band with project title, byline, and a "</w:t>
      </w:r>
      <w:r>
        <w:rPr>
          <w:b/>
          <w:i/>
        </w:rPr>
        <w:t>Enter the Platform</w:t>
      </w:r>
      <w:r>
        <w:rPr>
          <w:i/>
        </w:rPr>
        <w:t xml:space="preserve">" CTA at the bottom of the map. → Direct ancestor of AFCN's </w:t>
      </w:r>
      <w:r>
        <w:rPr>
          <w:b/>
          <w:i/>
        </w:rPr>
        <w:t>Real-Time Surplus map</w:t>
      </w:r>
      <w:r>
        <w:rPr>
          <w:i/>
        </w:rPr>
        <w:t xml:space="preserve"> (dark map + urgency-coded pins + bottom CTA). 2. </w:t>
      </w:r>
      <w:r>
        <w:rPr>
          <w:b/>
          <w:i/>
        </w:rPr>
        <w:t>Beirut Urban Lab projects index</w:t>
      </w:r>
      <w:r>
        <w:rPr>
          <w:i/>
        </w:rPr>
        <w:t xml:space="preserve"> — </w:t>
      </w:r>
      <w:r>
        <w:rPr>
          <w:b/>
          <w:i/>
        </w:rPr>
        <w:t>cream background</w:t>
      </w:r>
      <w:r>
        <w:rPr>
          <w:i/>
        </w:rPr>
        <w:t xml:space="preserve">, </w:t>
      </w:r>
      <w:r>
        <w:rPr>
          <w:b/>
          <w:i/>
        </w:rPr>
        <w:t>coral / salmon accent</w:t>
      </w:r>
      <w:r>
        <w:rPr>
          <w:i/>
        </w:rPr>
        <w:t xml:space="preserve"> in the eyebrow + title type, </w:t>
      </w:r>
      <w:r>
        <w:rPr>
          <w:b/>
          <w:i/>
        </w:rPr>
        <w:t>hatched border frames</w:t>
      </w:r>
      <w:r>
        <w:rPr>
          <w:i/>
        </w:rPr>
        <w:t xml:space="preserve"> around each project card, dates and theme tags below each title. → Direct ancestor of AFCN's </w:t>
      </w:r>
      <w:r>
        <w:rPr>
          <w:b/>
          <w:i/>
        </w:rPr>
        <w:t>Showcase</w:t>
      </w:r>
      <w:r>
        <w:rPr>
          <w:i/>
        </w:rPr>
        <w:t xml:space="preserve"> (cream-leaning lichtgrau, accent-colored eyebrow, scene-by-scene narrative grid).</w:t>
      </w:r>
      <w:r>
        <w:rPr>
          <w:i/>
        </w:rPr>
      </w:r>
    </w:p>
    <w:p>
      <w:r>
        <w:rPr>
          <w:color w:val="A4B1BC"/>
        </w:rPr>
        <w:t>────────────────────────────────────────────────────────────</w:t>
      </w:r>
    </w:p>
    <w:p>
      <w:pPr>
        <w:pStyle w:val="Heading2"/>
      </w:pPr>
      <w:r>
        <w:t>1. Why Beirut as a reference?</w:t>
      </w:r>
    </w:p>
    <w:p>
      <w:r>
        <w:t xml:space="preserve">Beirut Urban Lab's project sits at an unusual intersection: </w:t>
      </w:r>
      <w:r>
        <w:rPr>
          <w:b/>
        </w:rPr>
        <w:t>academic rigor</w:t>
      </w:r>
      <w:r>
        <w:t xml:space="preserve"> (it's run from a university research lab), </w:t>
      </w:r>
      <w:r>
        <w:rPr>
          <w:b/>
        </w:rPr>
        <w:t>public-facing accessibility</w:t>
      </w:r>
      <w:r>
        <w:t xml:space="preserve"> (it's a website any citizen can use), </w:t>
      </w:r>
      <w:r>
        <w:rPr>
          <w:b/>
        </w:rPr>
        <w:t>operational utility</w:t>
      </w:r>
      <w:r>
        <w:t xml:space="preserve"> (planners and journalists cite it directly), and </w:t>
      </w:r>
      <w:r>
        <w:rPr>
          <w:b/>
        </w:rPr>
        <w:t>editorial restraint</w:t>
      </w:r>
      <w:r>
        <w:t xml:space="preserve"> (the visual language is print-media disciplined). These four together are rare in civic-data dashboards — most are either academic-only (no public face), or "open-data portal" UX (overwhelming layer list, no narrative).</w:t>
      </w:r>
    </w:p>
    <w:p>
      <w:r>
        <w:t>AFCN aims for the same intersection: I2CE Lab research + public access + operations + restraint.</w:t>
      </w:r>
    </w:p>
    <w:p>
      <w:r>
        <w:rPr>
          <w:color w:val="A4B1BC"/>
        </w:rPr>
        <w:t>────────────────────────────────────────────────────────────</w:t>
      </w:r>
    </w:p>
    <w:p>
      <w:pPr>
        <w:pStyle w:val="Heading2"/>
      </w:pPr>
      <w:r>
        <w:t>2. The seven adopted moves</w:t>
      </w:r>
    </w:p>
    <w:p>
      <w:pPr>
        <w:pStyle w:val="Heading3"/>
      </w:pPr>
      <w:r>
        <w:t>Move 1 — One project-anchor color, applied with discipline</w:t>
      </w:r>
    </w:p>
    <w:p>
      <w:r>
        <w:t xml:space="preserve">Beirut uses a </w:t>
      </w:r>
      <w:r>
        <w:rPr>
          <w:b/>
        </w:rPr>
        <w:t>terracotta accent</w:t>
      </w:r>
      <w:r>
        <w:t xml:space="preserve"> for every actionable element (button, active state, link, key data callout). The terracotta does not appear in the map renderers (which use thematic ramps) — keeping its meaning crisp: "this is interactive AFCN UI."</w:t>
      </w:r>
    </w:p>
    <w:p>
      <w:r>
        <w:rPr>
          <w:b/>
        </w:rPr>
        <w:t>AFCN application:</w:t>
      </w:r>
      <w:r>
        <w:t xml:space="preserve"> Farbton Nr. 51 spinellblau </w:t>
      </w:r>
      <w:r>
        <w:rPr>
          <w:rFonts w:ascii="Consolas" w:hAnsi="Consolas"/>
          <w:sz w:val="20"/>
          <w:shd w:val="clear" w:color="auto" w:fill="F0F0F0"/>
        </w:rPr>
        <w:t>#1c5c84</w:t>
      </w:r>
      <w:r>
        <w:t xml:space="preserve"> is the AFCN anchor — used for nav-pill active states, hyperlinks, primary buttons. Maps use the Farbton family for their ramps but the accent is reserved for </w:t>
      </w:r>
      <w:r>
        <w:rPr>
          <w:i/>
        </w:rPr>
        <w:t>the dashboard chrome</w:t>
      </w:r>
      <w:r>
        <w:t>, not the data.</w:t>
      </w:r>
    </w:p>
    <w:p>
      <w:pPr>
        <w:pStyle w:val="Heading3"/>
      </w:pPr>
      <w:r>
        <w:t>Move 2 — Editorial serif display + sans body</w:t>
      </w:r>
    </w:p>
    <w:p>
      <w:r>
        <w:t xml:space="preserve">Beirut pairs a serif headline face with a sans body for paragraphs and UI. The effect is </w:t>
      </w:r>
      <w:r>
        <w:rPr>
          <w:b/>
        </w:rPr>
        <w:t>newspaper, not software</w:t>
      </w:r>
      <w:r>
        <w:t xml:space="preserve"> — the dashboard reads as a long-form publication.</w:t>
      </w:r>
    </w:p>
    <w:p>
      <w:r>
        <w:rPr>
          <w:b/>
        </w:rPr>
        <w:t>AFCN application:</w:t>
      </w:r>
    </w:p>
    <w:p>
      <w:pPr>
        <w:pStyle w:val="ListBullet"/>
      </w:pPr>
      <w:r>
        <w:t>Display: Playfair Display</w:t>
      </w:r>
    </w:p>
    <w:p>
      <w:pPr>
        <w:pStyle w:val="ListBullet"/>
      </w:pPr>
      <w:r>
        <w:t>Body / serif: Source Serif 4</w:t>
      </w:r>
    </w:p>
    <w:p>
      <w:pPr>
        <w:pStyle w:val="ListBullet"/>
      </w:pPr>
      <w:r>
        <w:t>UI / sans: Inter (or DM Sans on Network)</w:t>
      </w:r>
    </w:p>
    <w:p>
      <w:pPr>
        <w:pStyle w:val="Heading3"/>
      </w:pPr>
      <w:r>
        <w:t>Move 3 — Scene-by-scene narrative (the most important borrowing)</w:t>
      </w:r>
    </w:p>
    <w:p>
      <w:r>
        <w:t xml:space="preserve">Beirut walks the user through curated scenes. You don't land on "120 layers, pick one." You land on a </w:t>
      </w:r>
      <w:r>
        <w:rPr>
          <w:i/>
        </w:rPr>
        <w:t>story</w:t>
      </w:r>
      <w:r>
        <w:t>: layer A → layer B → layer C, with editorial captions between.</w:t>
      </w:r>
    </w:p>
    <w:p>
      <w:r>
        <w:rPr>
          <w:b/>
        </w:rPr>
        <w:t>AFCN application:</w:t>
      </w:r>
      <w:r>
        <w:t xml:space="preserve"> The Showcase view (</w:t>
      </w:r>
      <w:r>
        <w:rPr>
          <w:rFonts w:ascii="Consolas" w:hAnsi="Consolas"/>
          <w:sz w:val="20"/>
          <w:shd w:val="clear" w:color="auto" w:fill="F0F0F0"/>
        </w:rPr>
        <w:t>/showcase/</w:t>
      </w:r>
      <w:r>
        <w:t xml:space="preserve">) is a direct port. Scene definitions live in </w:t>
      </w:r>
      <w:r>
        <w:rPr>
          <w:rFonts w:ascii="Consolas" w:hAnsi="Consolas"/>
          <w:sz w:val="20"/>
          <w:shd w:val="clear" w:color="auto" w:fill="F0F0F0"/>
        </w:rPr>
        <w:t>scenes.json</w:t>
      </w:r>
      <w:r>
        <w:t>. Each scene has a title, a subtitle, a caption, a left and right map, and an order. The view can play in kiosk mode (auto-advance) for stakeholder briefings.</w:t>
      </w:r>
    </w:p>
    <w:p>
      <w:pPr>
        <w:pStyle w:val="Heading3"/>
      </w:pPr>
      <w:r>
        <w:t>Move 4 — Per-panel labels (no orphaned maps)</w:t>
      </w:r>
    </w:p>
    <w:p>
      <w:r>
        <w:t xml:space="preserve">Every Beirut map view has an explicit </w:t>
      </w:r>
      <w:r>
        <w:rPr>
          <w:b/>
        </w:rPr>
        <w:t>eyebrow</w:t>
      </w:r>
      <w:r>
        <w:t xml:space="preserve"> (the category, in small caps) and a </w:t>
      </w:r>
      <w:r>
        <w:rPr>
          <w:b/>
        </w:rPr>
        <w:t>title</w:t>
      </w:r>
      <w:r>
        <w:t xml:space="preserve"> (what this map is). Even when the user is dropped mid-scene, they know what they're looking at.</w:t>
      </w:r>
    </w:p>
    <w:p>
      <w:r>
        <w:rPr>
          <w:b/>
        </w:rPr>
        <w:t>AFCN application:</w:t>
      </w:r>
      <w:r>
        <w:t xml:space="preserve"> The </w:t>
      </w:r>
      <w:r>
        <w:rPr>
          <w:rFonts w:ascii="Consolas" w:hAnsi="Consolas"/>
          <w:sz w:val="20"/>
          <w:shd w:val="clear" w:color="auto" w:fill="F0F0F0"/>
        </w:rPr>
        <w:t>.panel-label</w:t>
      </w:r>
      <w:r>
        <w:t xml:space="preserve"> component is shared across Atlas + Showcase + Network. Side-tinted left-edge stripe (Nr. 51 for left pane, Nr. 58 for right pane) makes pane identity immediate.</w:t>
      </w:r>
    </w:p>
    <w:p>
      <w:pPr>
        <w:pStyle w:val="Heading3"/>
      </w:pPr>
      <w:r>
        <w:t>Move 5 — Hairlines, not boxes</w:t>
      </w:r>
    </w:p>
    <w:p>
      <w:r>
        <w:t>Beirut uses 1px hairline rules to separate sections instead of boxed cards with shadows. The effect is editorial, not "tile-based."</w:t>
      </w:r>
    </w:p>
    <w:p>
      <w:r>
        <w:rPr>
          <w:b/>
        </w:rPr>
        <w:t>AFCN application:</w:t>
      </w:r>
      <w:r>
        <w:t xml:space="preserve"> Topbar bottom-border, caption-bar top-border, panel-label outline — all 1px hairlines using </w:t>
      </w:r>
      <w:r>
        <w:rPr>
          <w:rFonts w:ascii="Consolas" w:hAnsi="Consolas"/>
          <w:sz w:val="20"/>
          <w:shd w:val="clear" w:color="auto" w:fill="F0F0F0"/>
        </w:rPr>
        <w:t>--rule</w:t>
      </w:r>
      <w:r>
        <w:t xml:space="preserve"> color (Nr. 54 in light mode, Nr. 49 in dark mode).</w:t>
      </w:r>
    </w:p>
    <w:p>
      <w:pPr>
        <w:pStyle w:val="Heading3"/>
      </w:pPr>
      <w:r>
        <w:t>Move 6 — Source citations in every footer</w:t>
      </w:r>
    </w:p>
    <w:p>
      <w:r>
        <w:t>Every Beirut map has a footer line citing the data source, vintage, and methodology link. Without this, the map is a claim without provenance.</w:t>
      </w:r>
    </w:p>
    <w:p>
      <w:r>
        <w:rPr>
          <w:b/>
        </w:rPr>
        <w:t>AFCN application:</w:t>
      </w:r>
      <w:r>
        <w:t xml:space="preserve"> Every panel-legend and every showcase scene has a "Source:" line. Each map in </w:t>
      </w:r>
      <w:r>
        <w:rPr>
          <w:rFonts w:ascii="Consolas" w:hAnsi="Consolas"/>
          <w:sz w:val="20"/>
          <w:shd w:val="clear" w:color="auto" w:fill="F0F0F0"/>
        </w:rPr>
        <w:t>submission/1_Spatial_Analytics/</w:t>
      </w:r>
      <w:r>
        <w:t xml:space="preserve"> has a </w:t>
      </w:r>
      <w:r>
        <w:rPr>
          <w:rFonts w:ascii="Consolas" w:hAnsi="Consolas"/>
          <w:sz w:val="20"/>
          <w:shd w:val="clear" w:color="auto" w:fill="F0F0F0"/>
        </w:rPr>
        <w:t>data_sources.md</w:t>
      </w:r>
      <w:r>
        <w:t xml:space="preserve"> that the visual citation links back to.</w:t>
      </w:r>
    </w:p>
    <w:p>
      <w:pPr>
        <w:pStyle w:val="Heading3"/>
      </w:pPr>
      <w:r>
        <w:t>Move 7 — Restraint in chrome</w:t>
      </w:r>
    </w:p>
    <w:p>
      <w:r>
        <w:t xml:space="preserve">Beirut's UI is </w:t>
      </w:r>
      <w:r>
        <w:rPr>
          <w:i/>
        </w:rPr>
        <w:t>quiet</w:t>
      </w:r>
      <w:r>
        <w:t>. The map is the foreground; the chrome is intentionally underweight. No animated logos, no hover-glow on everything, no decorative gradients.</w:t>
      </w:r>
    </w:p>
    <w:p>
      <w:r>
        <w:rPr>
          <w:b/>
        </w:rPr>
        <w:t>AFCN application:</w:t>
      </w:r>
      <w:r>
        <w:t xml:space="preserve"> Minimal chrome. Animation reserved for </w:t>
      </w:r>
      <w:r>
        <w:rPr>
          <w:b/>
        </w:rPr>
        <w:t>meaning</w:t>
      </w:r>
      <w:r>
        <w:t xml:space="preserve"> — Critical surplus pins pulse, hot connection edges flow-animate when a node is hovered. Decorative motion is forbidden.</w:t>
      </w:r>
    </w:p>
    <w:p>
      <w:r>
        <w:rPr>
          <w:color w:val="A4B1BC"/>
        </w:rPr>
        <w:t>────────────────────────────────────────────────────────────</w:t>
      </w:r>
    </w:p>
    <w:p>
      <w:pPr>
        <w:pStyle w:val="Heading2"/>
      </w:pPr>
      <w:r>
        <w:t>3. Where AFCN consciously departs from Beirut</w:t>
      </w:r>
    </w:p>
    <w:p>
      <w:pPr>
        <w:pStyle w:val="Heading3"/>
      </w:pPr>
      <w:r>
        <w:t>Departure A — Dark theme on operational views</w:t>
      </w:r>
    </w:p>
    <w:p>
      <w:r>
        <w:t xml:space="preserve">Beirut runs cream/warm throughout. AFCN's Atlas (data exploration) and Network (org coordination) views switched to dark theme. </w:t>
      </w:r>
      <w:r>
        <w:rPr>
          <w:b/>
        </w:rPr>
        <w:t>Reason:</w:t>
      </w:r>
      <w:r>
        <w:t xml:space="preserve"> these are </w:t>
      </w:r>
      <w:r>
        <w:rPr>
          <w:i/>
        </w:rPr>
        <w:t>operational</w:t>
      </w:r>
      <w:r>
        <w:t xml:space="preserve"> tools used in dim rooms (dispatch, late-night ops). Dark mode reduces eye strain and makes urgency-coded pins (red Critical) pop on a dark canvas in a way they cannot on cream.</w:t>
      </w:r>
    </w:p>
    <w:p>
      <w:r>
        <w:t xml:space="preserve">The Showcase view stays cream-leaning (Farbton lichtgrau) because it's a </w:t>
      </w:r>
      <w:r>
        <w:rPr>
          <w:i/>
        </w:rPr>
        <w:t>kiosk / publication</w:t>
      </w:r>
      <w:r>
        <w:t xml:space="preserve"> view, not an operations view.</w:t>
      </w:r>
    </w:p>
    <w:p>
      <w:pPr>
        <w:pStyle w:val="Heading3"/>
      </w:pPr>
      <w:r>
        <w:t>Departure B — Multi-view architecture</w:t>
      </w:r>
    </w:p>
    <w:p>
      <w:r>
        <w:t xml:space="preserve">Beirut is one website, one navigation model. AFCN is </w:t>
      </w:r>
      <w:r>
        <w:rPr>
          <w:b/>
        </w:rPr>
        <w:t>five views, five mental models</w:t>
      </w:r>
      <w:r>
        <w:t>:</w:t>
      </w:r>
    </w:p>
    <w:p>
      <w:pPr>
        <w:pStyle w:val="ListBullet"/>
      </w:pPr>
      <w:r>
        <w:t>Atlas = "explore the lens × subsystem matrix"</w:t>
      </w:r>
    </w:p>
    <w:p>
      <w:pPr>
        <w:pStyle w:val="ListBullet"/>
      </w:pPr>
      <w:r>
        <w:t>Showcase = "watch the scenes"</w:t>
      </w:r>
    </w:p>
    <w:p>
      <w:pPr>
        <w:pStyle w:val="ListBullet"/>
      </w:pPr>
      <w:r>
        <w:t>Network = "see the org constellation"</w:t>
      </w:r>
    </w:p>
    <w:p>
      <w:pPr>
        <w:pStyle w:val="ListBullet"/>
      </w:pPr>
      <w:r>
        <w:t>Surplus = "dispatch a rescue"</w:t>
      </w:r>
    </w:p>
    <w:p>
      <w:pPr>
        <w:pStyle w:val="ListBullet"/>
      </w:pPr>
      <w:r>
        <w:t>Hub = "what's open on campus right now"</w:t>
      </w:r>
    </w:p>
    <w:p>
      <w:r>
        <w:t xml:space="preserve">These five views serve five distinct user roles. A single view cannot collapse them without compromise. The Atlas matrix grid itself was designed as a </w:t>
      </w:r>
      <w:r>
        <w:rPr>
          <w:i/>
        </w:rPr>
        <w:t>navigation device</w:t>
      </w:r>
      <w:r>
        <w:t xml:space="preserve"> (pick a lens, pick a subsystem) — a move not present in Beirut.</w:t>
      </w:r>
    </w:p>
    <w:p>
      <w:pPr>
        <w:pStyle w:val="Heading3"/>
      </w:pPr>
      <w:r>
        <w:t>Departure C — Real-time data</w:t>
      </w:r>
    </w:p>
    <w:p>
      <w:r>
        <w:t xml:space="preserve">Beirut is a </w:t>
      </w:r>
      <w:r>
        <w:rPr>
          <w:i/>
        </w:rPr>
        <w:t>reference dataset</w:t>
      </w:r>
      <w:r>
        <w:t xml:space="preserve">: most layers are static (decennial census, historical building footprints, etc.). AFCN's Surplus view ingests LeanPath data from GT dining at sub-hour latency. The view shows a freshness timer per pin. </w:t>
      </w:r>
      <w:r>
        <w:rPr>
          <w:b/>
        </w:rPr>
        <w:t>The cartographic implications:</w:t>
      </w:r>
      <w:r>
        <w:t xml:space="preserve"> symbology has to respond to time (urgency decay), and the map is not a snapshot — it's a process.</w:t>
      </w:r>
    </w:p>
    <w:p>
      <w:pPr>
        <w:pStyle w:val="Heading3"/>
      </w:pPr>
      <w:r>
        <w:t>Departure D — Network-graph view (org relationships)</w:t>
      </w:r>
    </w:p>
    <w:p>
      <w:r>
        <w:t xml:space="preserve">Beirut does not visualize inter-organization relationships. AFCN's 802 orgs across 9 role categories require a </w:t>
      </w:r>
      <w:r>
        <w:rPr>
          <w:i/>
        </w:rPr>
        <w:t>network</w:t>
      </w:r>
      <w:r>
        <w:t xml:space="preserve"> view that a choropleth cannot deliver. Inspired by the WEF Strategic Intelligence transformation maps (radial layout with parent-topic pill) and force-directed graphs (force.html).</w:t>
      </w:r>
    </w:p>
    <w:p>
      <w:pPr>
        <w:pStyle w:val="Heading3"/>
      </w:pPr>
      <w:r>
        <w:t>Departure E — Composite + bivariate overlays</w:t>
      </w:r>
    </w:p>
    <w:p>
      <w:r>
        <w:t>Beirut maps are mostly univariate or qualitative (typologies, building heights, neighborhoods). AFCN's research mandate requires multivariate synthesis — M8 composite, M4 bivariate. These cartographic moves carry their own risks (see Critical Cartography review §4) but are non-negotiable for the project's analytical goals.</w:t>
      </w:r>
    </w:p>
    <w:p>
      <w:r>
        <w:rPr>
          <w:color w:val="A4B1BC"/>
        </w:rPr>
        <w:t>────────────────────────────────────────────────────────────</w:t>
      </w:r>
    </w:p>
    <w:p>
      <w:pPr>
        <w:pStyle w:val="Heading2"/>
      </w:pPr>
      <w:r>
        <w:t>4. What I would borrow next from Beirut</w:t>
      </w:r>
    </w:p>
    <w:tbl>
      <w:tblPr>
        <w:tblStyle w:val="LightGrid-Accent1"/>
        <w:tblW w:type="auto" w:w="0"/>
        <w:tblLook w:firstColumn="1" w:firstRow="1" w:lastColumn="0" w:lastRow="0" w:noHBand="0" w:noVBand="1" w:val="04A0"/>
      </w:tblPr>
      <w:tblGrid>
        <w:gridCol w:w="4320"/>
        <w:gridCol w:w="4320"/>
      </w:tblGrid>
      <w:tr>
        <w:tc>
          <w:tcPr>
            <w:tcW w:type="dxa" w:w="4320"/>
          </w:tcPr>
          <w:p>
            <w:r>
              <w:rPr>
                <w:b/>
              </w:rPr>
              <w:t>Beirut feature</w:t>
            </w:r>
          </w:p>
        </w:tc>
        <w:tc>
          <w:tcPr>
            <w:tcW w:type="dxa" w:w="4320"/>
          </w:tcPr>
          <w:p>
            <w:r>
              <w:rPr>
                <w:b/>
              </w:rPr>
              <w:t>Where it would fit in AFCN</w:t>
            </w:r>
          </w:p>
        </w:tc>
      </w:tr>
      <w:tr>
        <w:tc>
          <w:tcPr>
            <w:tcW w:type="dxa" w:w="4320"/>
          </w:tcPr>
          <w:p>
            <w:r>
              <w:rPr>
                <w:b/>
              </w:rPr>
              <w:t>Building-footprint vector tiles</w:t>
            </w:r>
            <w:r>
              <w:t xml:space="preserve"> for fast zoom-in</w:t>
            </w:r>
          </w:p>
        </w:tc>
        <w:tc>
          <w:tcPr>
            <w:tcW w:type="dxa" w:w="4320"/>
          </w:tcPr>
          <w:p>
            <w:r>
              <w:t>Surplus map close-in views (GT campus, neighborhood pantry walks)</w:t>
            </w:r>
          </w:p>
        </w:tc>
      </w:tr>
      <w:tr>
        <w:tc>
          <w:tcPr>
            <w:tcW w:type="dxa" w:w="4320"/>
          </w:tcPr>
          <w:p>
            <w:r>
              <w:rPr>
                <w:b/>
              </w:rPr>
              <w:t>Historical-comparison slider</w:t>
            </w:r>
            <w:r>
              <w:t xml:space="preserve"> (swipe between two time periods)</w:t>
            </w:r>
          </w:p>
        </w:tc>
        <w:tc>
          <w:tcPr>
            <w:tcW w:type="dxa" w:w="4320"/>
          </w:tcPr>
          <w:p>
            <w:r>
              <w:t xml:space="preserve">Surplus map showing </w:t>
            </w:r>
            <w:r>
              <w:rPr>
                <w:i/>
              </w:rPr>
              <w:t>this week vs. semester average</w:t>
            </w:r>
          </w:p>
        </w:tc>
      </w:tr>
      <w:tr>
        <w:tc>
          <w:tcPr>
            <w:tcW w:type="dxa" w:w="4320"/>
          </w:tcPr>
          <w:p>
            <w:r>
              <w:rPr>
                <w:b/>
              </w:rPr>
              <w:t>Methodology long-read pages</w:t>
            </w:r>
          </w:p>
        </w:tc>
        <w:tc>
          <w:tcPr>
            <w:tcW w:type="dxa" w:w="4320"/>
          </w:tcPr>
          <w:p>
            <w:r>
              <w:t xml:space="preserve">One per framework map (M1–M8) — currently the methodology lives only in </w:t>
            </w:r>
            <w:r>
              <w:rPr>
                <w:rFonts w:ascii="Consolas" w:hAnsi="Consolas"/>
                <w:sz w:val="20"/>
                <w:shd w:val="clear" w:color="auto" w:fill="F0F0F0"/>
              </w:rPr>
              <w:t>data_sources.md</w:t>
            </w:r>
          </w:p>
        </w:tc>
      </w:tr>
      <w:tr>
        <w:tc>
          <w:tcPr>
            <w:tcW w:type="dxa" w:w="4320"/>
          </w:tcPr>
          <w:p>
            <w:r>
              <w:rPr>
                <w:b/>
              </w:rPr>
              <w:t>Anonymous user-feedback widget</w:t>
            </w:r>
          </w:p>
        </w:tc>
        <w:tc>
          <w:tcPr>
            <w:tcW w:type="dxa" w:w="4320"/>
          </w:tcPr>
          <w:p>
            <w:r>
              <w:t>Capture which views partners actually use, with what friction</w:t>
            </w:r>
          </w:p>
        </w:tc>
      </w:tr>
      <w:tr>
        <w:tc>
          <w:tcPr>
            <w:tcW w:type="dxa" w:w="4320"/>
          </w:tcPr>
          <w:p>
            <w:r>
              <w:rPr>
                <w:b/>
              </w:rPr>
              <w:t>Tile-cached basemap server</w:t>
            </w:r>
          </w:p>
        </w:tc>
        <w:tc>
          <w:tcPr>
            <w:tcW w:type="dxa" w:w="4320"/>
          </w:tcPr>
          <w:p>
            <w:r>
              <w:t>Reduce ArcGIS API dependency and keep the surplus map operational offline</w:t>
            </w:r>
          </w:p>
        </w:tc>
      </w:tr>
    </w:tbl>
    <w:p/>
    <w:p>
      <w:r>
        <w:rPr>
          <w:color w:val="A4B1BC"/>
        </w:rPr>
        <w:t>────────────────────────────────────────────────────────────</w:t>
      </w:r>
    </w:p>
    <w:p>
      <w:pPr>
        <w:pStyle w:val="Heading2"/>
      </w:pPr>
      <w:r>
        <w:t>5. Visual comparison panel</w:t>
      </w:r>
    </w:p>
    <w:p>
      <w:r>
        <w:t xml:space="preserve">A side-by-side screenshot pair lives at </w:t>
      </w:r>
      <w:r>
        <w:rPr>
          <w:rFonts w:ascii="Consolas" w:hAnsi="Consolas"/>
          <w:sz w:val="20"/>
          <w:shd w:val="clear" w:color="auto" w:fill="F0F0F0"/>
        </w:rPr>
        <w:t>screenshots/beirut_vs_afcn_comparison.png</w:t>
      </w:r>
      <w:r>
        <w:t xml:space="preserve">. The intent is to give a reviewer the </w:t>
      </w:r>
      <w:r>
        <w:rPr>
          <w:b/>
        </w:rPr>
        <w:t>gestalt</w:t>
      </w:r>
      <w:r>
        <w:t xml:space="preserve"> comparison at a glance: same restraint, same editorial seriousness, different palette, different operational vs. archival emphasis.</w:t>
      </w:r>
    </w:p>
    <w:p>
      <w:r>
        <w:t>To regenerate:</w:t>
      </w:r>
    </w:p>
    <w:p>
      <w:pPr>
        <w:shd w:val="clear" w:color="auto" w:fill="F4F4F4"/>
      </w:pPr>
      <w:r>
        <w:rPr>
          <w:rFonts w:ascii="Consolas" w:hAnsi="Consolas"/>
          <w:color w:val="393F44"/>
          <w:sz w:val="18"/>
        </w:rPr>
        <w:t>python submission/4_Dashboard/build_comparison.py</w:t>
      </w:r>
    </w:p>
    <w:p>
      <w:r>
        <w:rPr>
          <w:color w:val="A4B1BC"/>
        </w:rPr>
        <w:t>────────────────────────────────────────────────────────────</w:t>
      </w:r>
    </w:p>
    <w:p>
      <w:pPr>
        <w:pStyle w:val="Heading2"/>
      </w:pPr>
      <w:r>
        <w:t>6. Acknowledgments</w:t>
      </w:r>
    </w:p>
    <w:p>
      <w:r>
        <w:t>Reference cited with appreciation:</w:t>
      </w:r>
    </w:p>
    <w:p>
      <w:pPr>
        <w:pStyle w:val="ListBullet"/>
      </w:pPr>
      <w:r>
        <w:rPr>
          <w:b/>
        </w:rPr>
        <w:t>Beirut Urban Lab</w:t>
      </w:r>
      <w:r>
        <w:t>, American University of Beirut. Built Environment Database. https://beirut-built-environment-db.aub.edu.lb/</w:t>
      </w:r>
    </w:p>
    <w:p>
      <w:pPr>
        <w:pStyle w:val="ListBullet"/>
      </w:pPr>
      <w:r>
        <w:t>WEF Strategic Intelligence Transformation Maps — for the radial-network design language</w:t>
      </w:r>
    </w:p>
    <w:p>
      <w:pPr>
        <w:pStyle w:val="ListBullet"/>
      </w:pPr>
      <w:r>
        <w:t>ColorBrewer + Stevens 2015 bivariate guide — for the M4/M8 inset</w:t>
      </w:r>
    </w:p>
    <w:p>
      <w:pPr>
        <w:pStyle w:val="ListBullet"/>
      </w:pPr>
      <w:r>
        <w:t>Farbton 1929 Standardfarbtonkarte — for the palette discipline that made multi-view coherence possible</w:t>
      </w:r>
    </w:p>
    <w:p>
      <w:r>
        <w:t>This document is intended as both a credit log and a critical companion: borrowing is a research method, not a copy.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93F4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93F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93F4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393F4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