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Smart City Service Robots under Extreme Climate Challenges</w:t>
      </w:r>
    </w:p>
    <w:p>
      <w:pPr>
        <w:spacing w:after="120"/>
      </w:pPr>
      <w:r>
        <w:rPr>
          <w:rFonts w:ascii="Calibri" w:hAnsi="Calibri"/>
          <w:i/>
          <w:sz w:val="24"/>
        </w:rPr>
        <w:t>Team proposal -- full six-stage research methodology (Phases 1-6)</w:t>
      </w:r>
    </w:p>
    <w:p>
      <w:pPr>
        <w:spacing w:after="120"/>
      </w:pPr>
      <w:r>
        <w:rPr>
          <w:rFonts w:ascii="Calibri" w:hAnsi="Calibri"/>
          <w:i w:val="0"/>
          <w:sz w:val="22"/>
        </w:rPr>
        <w:t>Authors: Sam M. Duong, Xilin Tang, Yi Tai, Qinghao  --  Advisor: TBD</w:t>
      </w:r>
    </w:p>
    <w:p>
      <w:pPr>
        <w:spacing w:after="120"/>
      </w:pPr>
      <w:r>
        <w:rPr>
          <w:rFonts w:ascii="Calibri" w:hAnsi="Calibri"/>
          <w:i w:val="0"/>
          <w:sz w:val="22"/>
        </w:rPr>
        <w:t>Repository: https://github.com/SamDuo/nihonbashi-robot-sim</w:t>
      </w:r>
    </w:p>
    <w:p>
      <w:pPr>
        <w:spacing w:after="120"/>
      </w:pPr>
      <w:r>
        <w:rPr>
          <w:rFonts w:ascii="Calibri" w:hAnsi="Calibri"/>
          <w:i/>
          <w:sz w:val="20"/>
        </w:rPr>
        <w:t>Status: Draft v0.4 -- unified six-phase proposal</w:t>
      </w:r>
    </w:p>
    <w:p>
      <w:pPr>
        <w:spacing w:before="240" w:after="80"/>
      </w:pPr>
      <w:r>
        <w:rPr>
          <w:rFonts w:ascii="Calibri" w:hAnsi="Calibri"/>
          <w:b/>
          <w:color w:val="101010"/>
          <w:sz w:val="30"/>
        </w:rPr>
        <w:t>1. Executive Summary, Context, and Methodology Overview</w:t>
      </w:r>
    </w:p>
    <w:p>
      <w:pPr>
        <w:spacing w:before="240" w:after="80"/>
      </w:pPr>
      <w:r>
        <w:rPr>
          <w:rFonts w:ascii="Calibri" w:hAnsi="Calibri"/>
          <w:b/>
          <w:color w:val="101010"/>
          <w:sz w:val="24"/>
        </w:rPr>
        <w:t>Summary</w:t>
      </w:r>
    </w:p>
    <w:p>
      <w:pPr>
        <w:spacing w:after="120"/>
      </w:pPr>
      <w:r>
        <w:rPr>
          <w:rFonts w:ascii="Calibri" w:hAnsi="Calibri"/>
          <w:i w:val="0"/>
          <w:sz w:val="22"/>
        </w:rPr>
        <w:t>We propose to run the full six-stage research methodology authored by Xilin Tang, end to end, for the Nihonbashi service-robot study. The work moves from baseline ABM testing of an existing Starship-type sidewalk delivery robot, through industrial-design translation into a new Heat-Support Robot concept, through paired A/B simulation that surfaces system-level gains, through AI-assisted CAD optimization, through statistically rigorous ABM re-simulation at scale, and finally to a browser-deliverable digital twin that any stakeholder can interact with. The architecture splits compute (heavy ABM and data work on the IAC-VLABB-2021 server, 72 logical CPUs and 768 GB RAM) from UX (laptops and browsers). The proposal uses only tools the team already has access to, with NVIDIA Isaac Sim retained as a stretch goal conditional on dedicated RTX hardware.</w:t>
      </w:r>
    </w:p>
    <w:p>
      <w:pPr>
        <w:spacing w:before="240" w:after="80"/>
      </w:pPr>
      <w:r>
        <w:rPr>
          <w:rFonts w:ascii="Calibri" w:hAnsi="Calibri"/>
          <w:b/>
          <w:color w:val="101010"/>
          <w:sz w:val="24"/>
        </w:rPr>
        <w:t>Why this study, and why Nihonbashi</w:t>
      </w:r>
    </w:p>
    <w:p>
      <w:pPr>
        <w:spacing w:after="120"/>
      </w:pPr>
      <w:r>
        <w:rPr>
          <w:rFonts w:ascii="Calibri" w:hAnsi="Calibri"/>
          <w:i w:val="0"/>
          <w:sz w:val="22"/>
        </w:rPr>
        <w:t>Tokyo's compound risk -- extreme heat compounded by an aging population -- is increasing faster than passive infrastructure (cooling shelters, ambulance dispatch) can adapt. Outdoor workers and elderly residents bear a disproportionate heat-exposure burden; fixed cooling shelters cover only fragments of Nihonbashi; ambulance dispatch is reactive rather than preventive. Service robots are the most direct lightweight intervention an urban service system can offer -- mobile, modular, dispatchable -- but existing designs have not been tested against Nihonbashi-specific scenarios in any reproducible way. This study fills that gap with a rigorous, simulation-first methodology.</w:t>
      </w:r>
    </w:p>
    <w:p>
      <w:pPr>
        <w:spacing w:before="240" w:after="80"/>
      </w:pPr>
      <w:r>
        <w:rPr>
          <w:rFonts w:ascii="Calibri" w:hAnsi="Calibri"/>
          <w:b/>
          <w:color w:val="101010"/>
          <w:sz w:val="24"/>
        </w:rPr>
        <w:t>Six-stage methodology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Name</w:t>
            </w:r>
          </w:p>
        </w:tc>
        <w:tc>
          <w:tcPr>
            <w:tcW w:type="dxa" w:w="2880"/>
          </w:tcPr>
          <w:p>
            <w:r>
              <w:rPr>
                <w:b/>
                <w:sz w:val="20"/>
              </w:rPr>
              <w:t>Primary task</w:t>
            </w:r>
          </w:p>
        </w:tc>
      </w:tr>
      <w:tr>
        <w:tc>
          <w:tcPr>
            <w:tcW w:type="dxa" w:w="2880"/>
          </w:tcPr>
          <w:p>
            <w:r>
              <w:rPr>
                <w:sz w:val="20"/>
              </w:rPr>
              <w:t>1</w:t>
            </w:r>
          </w:p>
        </w:tc>
        <w:tc>
          <w:tcPr>
            <w:tcW w:type="dxa" w:w="2880"/>
          </w:tcPr>
          <w:p>
            <w:r>
              <w:rPr>
                <w:sz w:val="20"/>
              </w:rPr>
              <w:t>Baseline ABM testing</w:t>
            </w:r>
          </w:p>
        </w:tc>
        <w:tc>
          <w:tcPr>
            <w:tcW w:type="dxa" w:w="2880"/>
          </w:tcPr>
          <w:p>
            <w:r>
              <w:rPr>
                <w:sz w:val="20"/>
              </w:rPr>
              <w:t>Abstract a Starship-type robot into ABM; surface macroscopic friction points</w:t>
            </w:r>
          </w:p>
        </w:tc>
      </w:tr>
      <w:tr>
        <w:tc>
          <w:tcPr>
            <w:tcW w:type="dxa" w:w="2880"/>
          </w:tcPr>
          <w:p>
            <w:r>
              <w:rPr>
                <w:sz w:val="20"/>
              </w:rPr>
              <w:t>2</w:t>
            </w:r>
          </w:p>
        </w:tc>
        <w:tc>
          <w:tcPr>
            <w:tcW w:type="dxa" w:w="2880"/>
          </w:tcPr>
          <w:p>
            <w:r>
              <w:rPr>
                <w:sz w:val="20"/>
              </w:rPr>
              <w:t>Product concept design</w:t>
            </w:r>
          </w:p>
        </w:tc>
        <w:tc>
          <w:tcPr>
            <w:tcW w:type="dxa" w:w="2880"/>
          </w:tcPr>
          <w:p>
            <w:r>
              <w:rPr>
                <w:sz w:val="20"/>
              </w:rPr>
              <w:t>Translate friction points into Heat-Support Robot concept + variable matrix</w:t>
            </w:r>
          </w:p>
        </w:tc>
      </w:tr>
      <w:tr>
        <w:tc>
          <w:tcPr>
            <w:tcW w:type="dxa" w:w="2880"/>
          </w:tcPr>
          <w:p>
            <w:r>
              <w:rPr>
                <w:sz w:val="20"/>
              </w:rPr>
              <w:t>3</w:t>
            </w:r>
          </w:p>
        </w:tc>
        <w:tc>
          <w:tcPr>
            <w:tcW w:type="dxa" w:w="2880"/>
          </w:tcPr>
          <w:p>
            <w:r>
              <w:rPr>
                <w:sz w:val="20"/>
              </w:rPr>
              <w:t>Initial A/B simulation</w:t>
            </w:r>
          </w:p>
        </w:tc>
        <w:tc>
          <w:tcPr>
            <w:tcW w:type="dxa" w:w="2880"/>
          </w:tcPr>
          <w:p>
            <w:r>
              <w:rPr>
                <w:sz w:val="20"/>
              </w:rPr>
              <w:t>SUMO + ABM comparison of baseline vs. proposal; iterate the design</w:t>
            </w:r>
          </w:p>
        </w:tc>
      </w:tr>
      <w:tr>
        <w:tc>
          <w:tcPr>
            <w:tcW w:type="dxa" w:w="2880"/>
          </w:tcPr>
          <w:p>
            <w:r>
              <w:rPr>
                <w:sz w:val="20"/>
              </w:rPr>
              <w:t>4</w:t>
            </w:r>
          </w:p>
        </w:tc>
        <w:tc>
          <w:tcPr>
            <w:tcW w:type="dxa" w:w="2880"/>
          </w:tcPr>
          <w:p>
            <w:r>
              <w:rPr>
                <w:sz w:val="20"/>
              </w:rPr>
              <w:t>AI + CAD optimization</w:t>
            </w:r>
          </w:p>
        </w:tc>
        <w:tc>
          <w:tcPr>
            <w:tcW w:type="dxa" w:w="2880"/>
          </w:tcPr>
          <w:p>
            <w:r>
              <w:rPr>
                <w:sz w:val="20"/>
              </w:rPr>
              <w:t>Convert ABM output into manufacturable CAD (Rhino + Fusion 360)</w:t>
            </w:r>
          </w:p>
        </w:tc>
      </w:tr>
      <w:tr>
        <w:tc>
          <w:tcPr>
            <w:tcW w:type="dxa" w:w="2880"/>
          </w:tcPr>
          <w:p>
            <w:r>
              <w:rPr>
                <w:sz w:val="20"/>
              </w:rPr>
              <w:t>5</w:t>
            </w:r>
          </w:p>
        </w:tc>
        <w:tc>
          <w:tcPr>
            <w:tcW w:type="dxa" w:w="2880"/>
          </w:tcPr>
          <w:p>
            <w:r>
              <w:rPr>
                <w:sz w:val="20"/>
              </w:rPr>
              <w:t>ABM re-simulation verification</w:t>
            </w:r>
          </w:p>
        </w:tc>
        <w:tc>
          <w:tcPr>
            <w:tcW w:type="dxa" w:w="2880"/>
          </w:tcPr>
          <w:p>
            <w:r>
              <w:rPr>
                <w:sz w:val="20"/>
              </w:rPr>
              <w:t>Verify macroscopic gains hold under CAD-derived parameters</w:t>
            </w:r>
          </w:p>
        </w:tc>
      </w:tr>
      <w:tr>
        <w:tc>
          <w:tcPr>
            <w:tcW w:type="dxa" w:w="2880"/>
          </w:tcPr>
          <w:p>
            <w:r>
              <w:rPr>
                <w:sz w:val="20"/>
              </w:rPr>
              <w:t>6</w:t>
            </w:r>
          </w:p>
        </w:tc>
        <w:tc>
          <w:tcPr>
            <w:tcW w:type="dxa" w:w="2880"/>
          </w:tcPr>
          <w:p>
            <w:r>
              <w:rPr>
                <w:sz w:val="20"/>
              </w:rPr>
              <w:t>High-fidelity digital twin</w:t>
            </w:r>
          </w:p>
        </w:tc>
        <w:tc>
          <w:tcPr>
            <w:tcW w:type="dxa" w:w="2880"/>
          </w:tcPr>
          <w:p>
            <w:r>
              <w:rPr>
                <w:sz w:val="20"/>
              </w:rPr>
              <w:t>Browser-deliverable 3D scene + geometric sensor / motion validation</w:t>
            </w:r>
          </w:p>
        </w:tc>
      </w:tr>
    </w:tbl>
    <w:p/>
    <w:p>
      <w:pPr>
        <w:spacing w:before="240" w:after="80"/>
      </w:pPr>
      <w:r>
        <w:rPr>
          <w:rFonts w:ascii="Calibri" w:hAnsi="Calibri"/>
          <w:b/>
          <w:color w:val="101010"/>
          <w:sz w:val="24"/>
        </w:rPr>
        <w:t>Research questions</w:t>
      </w:r>
    </w:p>
    <w:p>
      <w:pPr>
        <w:spacing w:after="120"/>
      </w:pPr>
      <w:r>
        <w:rPr>
          <w:rFonts w:ascii="Calibri" w:hAnsi="Calibri"/>
          <w:i w:val="0"/>
          <w:sz w:val="22"/>
        </w:rPr>
        <w:t>Three questions frame the work. Each is anchored to a specific part of the methodology.</w:t>
      </w:r>
    </w:p>
    <w:p>
      <w:pPr>
        <w:spacing w:after="120"/>
      </w:pPr>
      <w:r>
        <w:rPr>
          <w:rFonts w:ascii="Calibri" w:hAnsi="Calibri"/>
          <w:i w:val="0"/>
          <w:sz w:val="22"/>
        </w:rPr>
        <w:t>RQ1 -- Can a Nihonbashi-specific service robot reduce human heat exposure during extreme heat without making sidewalks worse for pedestrians?  Phases 1-3 answer this.</w:t>
      </w:r>
    </w:p>
    <w:p>
      <w:pPr>
        <w:pStyle w:val="ListBullet"/>
      </w:pPr>
      <w:r>
        <w:rPr>
          <w:rFonts w:ascii="Calibri" w:hAnsi="Calibri"/>
          <w:sz w:val="22"/>
        </w:rPr>
        <w:t>Build a baseline ABM of a Starship-type robot in the catchment.</w:t>
      </w:r>
    </w:p>
    <w:p>
      <w:pPr>
        <w:pStyle w:val="ListBullet"/>
      </w:pPr>
      <w:r>
        <w:rPr>
          <w:rFonts w:ascii="Calibri" w:hAnsi="Calibri"/>
          <w:sz w:val="22"/>
        </w:rPr>
        <w:t>Identify macroscopic friction points (detours, docking, speed mismatches, heat-exposure overlap).</w:t>
      </w:r>
    </w:p>
    <w:p>
      <w:pPr>
        <w:pStyle w:val="ListBullet"/>
      </w:pPr>
      <w:r>
        <w:rPr>
          <w:rFonts w:ascii="Calibri" w:hAnsi="Calibri"/>
          <w:sz w:val="22"/>
        </w:rPr>
        <w:t>Translate frictions into the Heat-Support Robot concept and variable matrix.</w:t>
      </w:r>
    </w:p>
    <w:p>
      <w:pPr>
        <w:pStyle w:val="ListBullet"/>
      </w:pPr>
      <w:r>
        <w:rPr>
          <w:rFonts w:ascii="Calibri" w:hAnsi="Calibri"/>
          <w:sz w:val="22"/>
        </w:rPr>
        <w:t>Run A/B simulation; iterate until Pareto-non-dominated on the six metrics.</w:t>
      </w:r>
    </w:p>
    <w:p>
      <w:pPr>
        <w:spacing w:after="120"/>
      </w:pPr>
      <w:r>
        <w:rPr>
          <w:rFonts w:ascii="Calibri" w:hAnsi="Calibri"/>
          <w:i w:val="0"/>
          <w:sz w:val="22"/>
        </w:rPr>
        <w:t>RQ2 -- Do the simulation gains hold up once the robot is designed as a real, manufacturable thing?  Phases 4-5 answer this.</w:t>
      </w:r>
    </w:p>
    <w:p>
      <w:pPr>
        <w:pStyle w:val="ListBullet"/>
      </w:pPr>
      <w:r>
        <w:rPr>
          <w:rFonts w:ascii="Calibri" w:hAnsi="Calibri"/>
          <w:sz w:val="22"/>
        </w:rPr>
        <w:t>Convert the converged variable matrix into a parametric Rhino + Fusion 360 CAD model.</w:t>
      </w:r>
    </w:p>
    <w:p>
      <w:pPr>
        <w:pStyle w:val="ListBullet"/>
      </w:pPr>
      <w:r>
        <w:rPr>
          <w:rFonts w:ascii="Calibri" w:hAnsi="Calibri"/>
          <w:sz w:val="22"/>
        </w:rPr>
        <w:t>Re-abstract CAD geometry back into ABM parameters.</w:t>
      </w:r>
    </w:p>
    <w:p>
      <w:pPr>
        <w:pStyle w:val="ListBullet"/>
      </w:pPr>
      <w:r>
        <w:rPr>
          <w:rFonts w:ascii="Calibri" w:hAnsi="Calibri"/>
          <w:sz w:val="22"/>
        </w:rPr>
        <w:t>Re-run A/B at scale on the IAC-VLABB-2021 server with 200+ replicates per scenario.</w:t>
      </w:r>
    </w:p>
    <w:p>
      <w:pPr>
        <w:pStyle w:val="ListBullet"/>
      </w:pPr>
      <w:r>
        <w:rPr>
          <w:rFonts w:ascii="Calibri" w:hAnsi="Calibri"/>
          <w:sz w:val="22"/>
        </w:rPr>
        <w:t>Verify macroscopic gains hold with statistical significance on at least four of six metrics.</w:t>
      </w:r>
    </w:p>
    <w:p>
      <w:pPr>
        <w:spacing w:after="120"/>
      </w:pPr>
      <w:r>
        <w:rPr>
          <w:rFonts w:ascii="Calibri" w:hAnsi="Calibri"/>
          <w:i w:val="0"/>
          <w:sz w:val="22"/>
        </w:rPr>
        <w:t>RQ3 -- Can we show all of this in a browser-based 3D twin that planners and residents actually understand?  Phase 6 answers this.</w:t>
      </w:r>
    </w:p>
    <w:p>
      <w:pPr>
        <w:pStyle w:val="ListBullet"/>
      </w:pPr>
      <w:r>
        <w:rPr>
          <w:rFonts w:ascii="Calibri" w:hAnsi="Calibri"/>
          <w:sz w:val="22"/>
        </w:rPr>
        <w:t>Assemble the 500 m catchment as a 3D scene in ArcGIS Urban or CesiumJS.</w:t>
      </w:r>
    </w:p>
    <w:p>
      <w:pPr>
        <w:pStyle w:val="ListBullet"/>
      </w:pPr>
      <w:r>
        <w:rPr>
          <w:rFonts w:ascii="Calibri" w:hAnsi="Calibri"/>
          <w:sz w:val="22"/>
        </w:rPr>
        <w:t>Overlay heat-cost field, robot trajectories, vulnerable population, service nodes, friction-point markers.</w:t>
      </w:r>
    </w:p>
    <w:p>
      <w:pPr>
        <w:pStyle w:val="ListBullet"/>
      </w:pPr>
      <w:r>
        <w:rPr>
          <w:rFonts w:ascii="Calibri" w:hAnsi="Calibri"/>
          <w:sz w:val="22"/>
        </w:rPr>
        <w:t>Validate sensor coverage and robot motion plausibility geometrically in Mesa with Shapely.</w:t>
      </w:r>
    </w:p>
    <w:p>
      <w:pPr>
        <w:pStyle w:val="ListBullet"/>
      </w:pPr>
      <w:r>
        <w:rPr>
          <w:rFonts w:ascii="Calibri" w:hAnsi="Calibri"/>
          <w:sz w:val="22"/>
        </w:rPr>
        <w:t>Demo the twin to stakeholders; collect structured feedback and document what made the evidence interpretable.</w:t>
      </w:r>
    </w:p>
    <w:p>
      <w:pPr>
        <w:spacing w:after="120"/>
      </w:pPr>
      <w:r>
        <w:rPr>
          <w:rFonts w:ascii="Calibri" w:hAnsi="Calibri"/>
          <w:i/>
          <w:sz w:val="20"/>
        </w:rPr>
        <w:t>Definitions  --  Pareto-non-dominated: not worse than the baseline on any metric AND strictly better on at least one. Preserves trade-offs instead of hiding them in a weighted score.</w:t>
      </w:r>
    </w:p>
    <w:p>
      <w:r>
        <w:br w:type="page"/>
      </w:r>
    </w:p>
    <w:p>
      <w:pPr>
        <w:spacing w:before="240" w:after="80"/>
      </w:pPr>
      <w:r>
        <w:rPr>
          <w:rFonts w:ascii="Calibri" w:hAnsi="Calibri"/>
          <w:b/>
          <w:color w:val="101010"/>
          <w:sz w:val="30"/>
        </w:rPr>
        <w:t>2. Spatial Scope and Phase 1 -- Baseline ABM</w:t>
      </w:r>
    </w:p>
    <w:p>
      <w:pPr>
        <w:spacing w:before="240" w:after="80"/>
      </w:pPr>
      <w:r>
        <w:rPr>
          <w:rFonts w:ascii="Calibri" w:hAnsi="Calibri"/>
          <w:b/>
          <w:color w:val="101010"/>
          <w:sz w:val="24"/>
        </w:rPr>
        <w:t>Spatial scope -- nested scales</w:t>
      </w:r>
    </w:p>
    <w:p>
      <w:pPr>
        <w:spacing w:after="120"/>
      </w:pPr>
      <w:r>
        <w:rPr>
          <w:rFonts w:ascii="Calibri" w:hAnsi="Calibri"/>
          <w:i w:val="0"/>
          <w:sz w:val="22"/>
        </w:rPr>
        <w:t>Mobility, resilience, and robot service each have a natural scale; none of them is a single street segment. We use three nested rings so each system is observed where its dynamics actually occur. The inner ring is a ~200 m hero segment used for close-up renders; the middle ring is a ~500 m subway-station catchment used for ABM agent simulation and the Pareto comparison; the outer ring is the full Nihonbashi district used for stakeholder dashboards. The middle-ring catchment (Nihonbashi Station or Mitsukoshi-mae) is the operational boundary where the three systems genuinely intersect.</w:t>
      </w:r>
    </w:p>
    <w:p>
      <w:pPr>
        <w:spacing w:before="240" w:after="80"/>
      </w:pPr>
      <w:r>
        <w:rPr>
          <w:rFonts w:ascii="Calibri" w:hAnsi="Calibri"/>
          <w:b/>
          <w:color w:val="101010"/>
          <w:sz w:val="24"/>
        </w:rPr>
        <w:t>Phase 1 -- Starship Baseline ABM</w:t>
      </w:r>
    </w:p>
    <w:p>
      <w:pPr>
        <w:spacing w:after="120"/>
      </w:pPr>
      <w:r>
        <w:rPr>
          <w:rFonts w:ascii="Calibri" w:hAnsi="Calibri"/>
          <w:i w:val="0"/>
          <w:sz w:val="22"/>
        </w:rPr>
        <w:t>Phase 1 abstracts an existing Starship-type sidewalk delivery robot into ABM-readable parameters (body 569 x 697 x 616 mm, max speed 6 km/h per METI 2023, turning radius ~0.8 m, payload 10 kg, docking 30 s, reactive avoidance) and drops it into the Nihonbashi catchment. The objective is not to evaluate Starship's commercial merits but to surface macroscopic friction points that motivate the Phase 2 design: pedestrian detours, mainline / robot trajectory intersections, docking conflicts, speed mismatches, task delays under heat conditions, and heat-exposure overlap between robot paths and pedestrian shade-seeking behavior.</w:t>
      </w:r>
    </w:p>
    <w:p>
      <w:pPr>
        <w:spacing w:before="240" w:after="80"/>
      </w:pPr>
      <w:r>
        <w:rPr>
          <w:rFonts w:ascii="Calibri" w:hAnsi="Calibri"/>
          <w:b/>
          <w:color w:val="101010"/>
          <w:sz w:val="24"/>
        </w:rPr>
        <w:t>Heat-cost field -- GIS bridge from classifier into ABM</w:t>
      </w:r>
    </w:p>
    <w:p>
      <w:pPr>
        <w:spacing w:after="120"/>
      </w:pPr>
      <w:r>
        <w:rPr>
          <w:rFonts w:ascii="Calibri" w:hAnsi="Calibri"/>
          <w:i w:val="0"/>
          <w:sz w:val="22"/>
        </w:rPr>
        <w:t>The Random Forest heat-scenario classifier from the parent Tokyo Studio repository (Low / Moderate / High / Extreme labels per parcel) joins the OSM sidewalk graph by spatial intersection and becomes a scalar field consumed by every agent in the ABM. Pedestrian agents use the resulting heat_cost in weighted-Dijkstra route choice; the robot uses it for service-path optimization; per-agent heat_exposure accumulates along the trajectory. This bridge is the GIS contribution that ties the Tokyo Studio platform to the robot simulation -- it is what allows heat to influence both pedestrian and robot behavior in one consistent way.</w:t>
      </w:r>
    </w:p>
    <w:p>
      <w:r>
        <w:br w:type="page"/>
      </w:r>
    </w:p>
    <w:p>
      <w:pPr>
        <w:spacing w:before="240" w:after="80"/>
      </w:pPr>
      <w:r>
        <w:rPr>
          <w:rFonts w:ascii="Calibri" w:hAnsi="Calibri"/>
          <w:b/>
          <w:color w:val="101010"/>
          <w:sz w:val="30"/>
        </w:rPr>
        <w:t>3. Phase 2 (Concept) and Phase 3 (A/B Simulation)</w:t>
      </w:r>
    </w:p>
    <w:p>
      <w:pPr>
        <w:spacing w:before="240" w:after="80"/>
      </w:pPr>
      <w:r>
        <w:rPr>
          <w:rFonts w:ascii="Calibri" w:hAnsi="Calibri"/>
          <w:b/>
          <w:color w:val="101010"/>
          <w:sz w:val="24"/>
        </w:rPr>
        <w:t>Phase 2 -- Heat-Support Robot concept and variable matrix</w:t>
      </w:r>
    </w:p>
    <w:p>
      <w:pPr>
        <w:spacing w:after="120"/>
      </w:pPr>
      <w:r>
        <w:rPr>
          <w:rFonts w:ascii="Calibri" w:hAnsi="Calibri"/>
          <w:i w:val="0"/>
          <w:sz w:val="22"/>
        </w:rPr>
        <w:t>Phase 2 translates ranked friction points into a new design hypothesis: the Nihonbashi Heat-Support Robot. The concept is a modular autonomous service robot purpose-built for extreme-heat support in dense Nihonbashi-type districts. Body ~680 x 980 x 1050 mm, with heat-resilient electronics rated to 40 C+ ambient. Modular cargo bays serve water, medicine, first-aid, and information / wayfinding tasks. Lift-off docking, directional intent-lighting strip, top-mounted status screen, soft chime on docking, slow-for-crowd motion rhythm, and vulnerable-pop detection are the interaction design choices that answer Phase 1 friction.</w:t>
      </w:r>
    </w:p>
    <w:p>
      <w:pPr>
        <w:spacing w:after="120"/>
      </w:pPr>
      <w:r>
        <w:rPr>
          <w:rFonts w:ascii="Calibri" w:hAnsi="Calibri"/>
          <w:i w:val="0"/>
          <w:sz w:val="22"/>
        </w:rPr>
        <w:t>Each design choice maps to a row in the variable matrix -- a single CSV that becomes the contract across every subsequent phase. Columns include baseline_value (Starship), proposal_v1 (Heat-Support v1 from Phase 2), v2 / v3 (after Phase 3 iterations), and final_value (handed off to Phase 4 CAD). Each row carries design_rationale, friction_point_ids, and owner. The matrix is version-controlled in git so every change is a PR with reasoning.</w:t>
      </w:r>
    </w:p>
    <w:p>
      <w:pPr>
        <w:spacing w:before="240" w:after="80"/>
      </w:pPr>
      <w:r>
        <w:rPr>
          <w:rFonts w:ascii="Calibri" w:hAnsi="Calibri"/>
          <w:b/>
          <w:color w:val="101010"/>
          <w:sz w:val="24"/>
        </w:rPr>
        <w:t>Phase 3 -- A/B simulation, six metrics, iterative feedback</w:t>
      </w:r>
    </w:p>
    <w:p>
      <w:pPr>
        <w:spacing w:after="120"/>
      </w:pPr>
      <w:r>
        <w:rPr>
          <w:rFonts w:ascii="Calibri" w:hAnsi="Calibri"/>
          <w:i w:val="0"/>
          <w:sz w:val="22"/>
        </w:rPr>
        <w:t>Phase 3 runs the proposal under the same scenarios, windows, and seeds as the baseline. Twelve scenario x window combinations (four heat scenarios x three traffic windows) with at least 50 paired replicates each, paired across A/B sides under matched RNG seeds. Statistical analysis uses paired t-test or Wilcoxon, with Holm-Bonferroni correction across six metrics: labor substitution rate (up), heat exposure reduction (up), service continuity (up), delivery efficiency (up), pedestrian interference (down), and infrastructure compatibility (down). Comparison is Pareto-based, not weighted-sum, so the designer can see the matrix of trade-offs.</w:t>
      </w:r>
    </w:p>
    <w:p>
      <w:pPr>
        <w:spacing w:after="120"/>
      </w:pPr>
      <w:r>
        <w:rPr>
          <w:rFonts w:ascii="Calibri" w:hAnsi="Calibri"/>
          <w:i w:val="0"/>
          <w:sz w:val="22"/>
        </w:rPr>
        <w:t>Residual issues feed a designer review; Xilin updates the proposal column; we re-run side B with new parameters while side A stays anchored to Starship. Up to three iterations. Exit conditions: (a) Pareto-non-dominated against baseline with statistical significance on &gt;= 4 of 6 metrics, OR (b) three iterations completed without significant new improvement, OR (c) designer override with documented rationale. On exit, the final proposal parameters and the residual-issue list hand off to Phase 4.</w:t>
      </w:r>
    </w:p>
    <w:p>
      <w:r>
        <w:br w:type="page"/>
      </w:r>
    </w:p>
    <w:p>
      <w:pPr>
        <w:spacing w:before="240" w:after="80"/>
      </w:pPr>
      <w:r>
        <w:rPr>
          <w:rFonts w:ascii="Calibri" w:hAnsi="Calibri"/>
          <w:b/>
          <w:color w:val="101010"/>
          <w:sz w:val="30"/>
        </w:rPr>
        <w:t>4. Phase 4 (CAD), Phase 5 (Re-Sim), Phase 6 (Twin + Sensor)</w:t>
      </w:r>
    </w:p>
    <w:p>
      <w:pPr>
        <w:spacing w:before="240" w:after="80"/>
      </w:pPr>
      <w:r>
        <w:rPr>
          <w:rFonts w:ascii="Calibri" w:hAnsi="Calibri"/>
          <w:b/>
          <w:color w:val="101010"/>
          <w:sz w:val="24"/>
        </w:rPr>
        <w:t>Phase 4 -- AI + CAD optimization</w:t>
      </w:r>
    </w:p>
    <w:p>
      <w:pPr>
        <w:spacing w:after="120"/>
      </w:pPr>
      <w:r>
        <w:rPr>
          <w:rFonts w:ascii="Calibri" w:hAnsi="Calibri"/>
          <w:i w:val="0"/>
          <w:sz w:val="22"/>
        </w:rPr>
        <w:t>Generative AI summarizes Phase 3 friction points and proposes CAD-level modifications. Xilin selects, critiques, and integrates against Nihonbashi context and METI 2023 sidewalk-robot rules. The result is a parametric Rhino + Grasshopper source with an engineering pass in Fusion 360 (educational), exported as STEP for engineering hand-off and glTF for downstream browser display. Every variable matrix row maps to a Rhino parameter so design changes propagate. Acceptance criteria: manufacturability review passes and every variable maps cleanly to a CAD parameter.</w:t>
      </w:r>
    </w:p>
    <w:p>
      <w:pPr>
        <w:spacing w:before="240" w:after="80"/>
      </w:pPr>
      <w:r>
        <w:rPr>
          <w:rFonts w:ascii="Calibri" w:hAnsi="Calibri"/>
          <w:b/>
          <w:color w:val="101010"/>
          <w:sz w:val="24"/>
        </w:rPr>
        <w:t>Phase 5 -- ABM re-simulation at scale</w:t>
      </w:r>
    </w:p>
    <w:p>
      <w:pPr>
        <w:spacing w:after="120"/>
      </w:pPr>
      <w:r>
        <w:rPr>
          <w:rFonts w:ascii="Calibri" w:hAnsi="Calibri"/>
          <w:i w:val="0"/>
          <w:sz w:val="22"/>
        </w:rPr>
        <w:t>CAD-derived parameters are re-abstracted into the ABM. We run a three-tier comparison -- Starship baseline (Phase 1), initial Heat-Support proposal (Phase 3), CAD-optimized robot (Phase 4) -- under identical scenarios, windows, seeds, and metrics. The IAC-VLABB-2021 server runs roughly 36 Mesa workers in parallel, finishing 200+ replicates per scenario across the full 500 m catchment. This is the central evidence layer: alpha = 0.05, statistical power &gt;= 0.8, three-way Pareto comparison plus parameter-sensitivity sweeps. Output: outputs/reports/phase5_revalidation.md.</w:t>
      </w:r>
    </w:p>
    <w:p>
      <w:pPr>
        <w:spacing w:before="240" w:after="80"/>
      </w:pPr>
      <w:r>
        <w:rPr>
          <w:rFonts w:ascii="Calibri" w:hAnsi="Calibri"/>
          <w:b/>
          <w:color w:val="101010"/>
          <w:sz w:val="24"/>
        </w:rPr>
        <w:t>Phase 6.1 -- Browser-deliverable 3D twin</w:t>
      </w:r>
    </w:p>
    <w:p>
      <w:pPr>
        <w:spacing w:after="120"/>
      </w:pPr>
      <w:r>
        <w:rPr>
          <w:rFonts w:ascii="Calibri" w:hAnsi="Calibri"/>
          <w:i w:val="0"/>
          <w:sz w:val="22"/>
        </w:rPr>
        <w:t>The twin is delivered in the browser at LOD2 fidelity across the catchment. Primary path is ArcGIS Urban + Experience Builder (which the team already operates in production for the Tokyo Studio); the alternative is CesiumJS for an open-source web-native build. The scene carries toggleable layers for heat scenario, robot fleet, vulnerable population, service nodes, and friction points. Robot trajectories from Phase 5 play back as animated paths. Production-quality and browser-deliverable, not photoreal -- LOD2 is sufficient for stakeholder map view.</w:t>
      </w:r>
    </w:p>
    <w:p>
      <w:pPr>
        <w:spacing w:before="240" w:after="80"/>
      </w:pPr>
      <w:r>
        <w:rPr>
          <w:rFonts w:ascii="Calibri" w:hAnsi="Calibri"/>
          <w:b/>
          <w:color w:val="101010"/>
          <w:sz w:val="24"/>
        </w:rPr>
        <w:t>Phase 6.2 -- Geometric sensor + motion validation</w:t>
      </w:r>
    </w:p>
    <w:p>
      <w:pPr>
        <w:spacing w:after="120"/>
      </w:pPr>
      <w:r>
        <w:rPr>
          <w:rFonts w:ascii="Calibri" w:hAnsi="Calibri"/>
          <w:i w:val="0"/>
          <w:sz w:val="22"/>
        </w:rPr>
        <w:t>Sensor coverage is modeled as 2D polygons in Shapely: camera vision cones, lidar range discs, ultrasonic ring footprints. We compute coverage percentage per service-node approach and blind-spot risk per docking maneuver. Robot motion is validated against the CAD-specified turning radius and docking duration. This intentionally avoids photoreal sensor fidelity simulation -- the geometric question (does the sensor see what it needs to see) is the load-bearing one and is fully answered here.</w:t>
      </w:r>
    </w:p>
    <w:p>
      <w:r>
        <w:br w:type="page"/>
      </w:r>
    </w:p>
    <w:p>
      <w:pPr>
        <w:spacing w:before="240" w:after="80"/>
      </w:pPr>
      <w:r>
        <w:rPr>
          <w:rFonts w:ascii="Calibri" w:hAnsi="Calibri"/>
          <w:b/>
          <w:color w:val="101010"/>
          <w:sz w:val="30"/>
        </w:rPr>
        <w:t>5. Data Inventory and Gaps</w:t>
      </w:r>
    </w:p>
    <w:p>
      <w:pPr>
        <w:spacing w:before="240" w:after="80"/>
      </w:pPr>
      <w:r>
        <w:rPr>
          <w:rFonts w:ascii="Calibri" w:hAnsi="Calibri"/>
          <w:b/>
          <w:color w:val="101010"/>
          <w:sz w:val="24"/>
        </w:rPr>
        <w:t>Inventory (assets available today)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Layer</w:t>
            </w:r>
          </w:p>
        </w:tc>
        <w:tc>
          <w:tcPr>
            <w:tcW w:type="dxa" w:w="1728"/>
          </w:tcPr>
          <w:p>
            <w:r>
              <w:rPr>
                <w:b/>
                <w:sz w:val="20"/>
              </w:rPr>
              <w:t>Source</w:t>
            </w:r>
          </w:p>
        </w:tc>
        <w:tc>
          <w:tcPr>
            <w:tcW w:type="dxa" w:w="1728"/>
          </w:tcPr>
          <w:p>
            <w:r>
              <w:rPr>
                <w:b/>
                <w:sz w:val="20"/>
              </w:rPr>
              <w:t>Quality</w:t>
            </w:r>
          </w:p>
        </w:tc>
        <w:tc>
          <w:tcPr>
            <w:tcW w:type="dxa" w:w="1728"/>
          </w:tcPr>
          <w:p>
            <w:r>
              <w:rPr>
                <w:b/>
                <w:sz w:val="20"/>
              </w:rPr>
              <w:t>Owner</w:t>
            </w:r>
          </w:p>
        </w:tc>
      </w:tr>
      <w:tr>
        <w:tc>
          <w:tcPr>
            <w:tcW w:type="dxa" w:w="1728"/>
          </w:tcPr>
          <w:p>
            <w:r>
              <w:rPr>
                <w:sz w:val="20"/>
              </w:rPr>
              <w:t>1</w:t>
            </w:r>
          </w:p>
        </w:tc>
        <w:tc>
          <w:tcPr>
            <w:tcW w:type="dxa" w:w="1728"/>
          </w:tcPr>
          <w:p>
            <w:r>
              <w:rPr>
                <w:sz w:val="20"/>
              </w:rPr>
              <w:t>Heat scenarios (RF classifier)</w:t>
            </w:r>
          </w:p>
        </w:tc>
        <w:tc>
          <w:tcPr>
            <w:tcW w:type="dxa" w:w="1728"/>
          </w:tcPr>
          <w:p>
            <w:r>
              <w:rPr>
                <w:sz w:val="20"/>
              </w:rPr>
              <w:t>Tokyo Studio repo</w:t>
            </w:r>
          </w:p>
        </w:tc>
        <w:tc>
          <w:tcPr>
            <w:tcW w:type="dxa" w:w="1728"/>
          </w:tcPr>
          <w:p>
            <w:r>
              <w:rPr>
                <w:sz w:val="20"/>
              </w:rPr>
              <w:t>****</w:t>
            </w:r>
          </w:p>
        </w:tc>
        <w:tc>
          <w:tcPr>
            <w:tcW w:type="dxa" w:w="1728"/>
          </w:tcPr>
          <w:p>
            <w:r>
              <w:rPr>
                <w:sz w:val="20"/>
              </w:rPr>
              <w:t>Sam, Qinghao</w:t>
            </w:r>
          </w:p>
        </w:tc>
      </w:tr>
      <w:tr>
        <w:tc>
          <w:tcPr>
            <w:tcW w:type="dxa" w:w="1728"/>
          </w:tcPr>
          <w:p>
            <w:r>
              <w:rPr>
                <w:sz w:val="20"/>
              </w:rPr>
              <w:t>2</w:t>
            </w:r>
          </w:p>
        </w:tc>
        <w:tc>
          <w:tcPr>
            <w:tcW w:type="dxa" w:w="1728"/>
          </w:tcPr>
          <w:p>
            <w:r>
              <w:rPr>
                <w:sz w:val="20"/>
              </w:rPr>
              <w:t>Pedestrian GPS visits</w:t>
            </w:r>
          </w:p>
        </w:tc>
        <w:tc>
          <w:tcPr>
            <w:tcW w:type="dxa" w:w="1728"/>
          </w:tcPr>
          <w:p>
            <w:r>
              <w:rPr>
                <w:sz w:val="20"/>
              </w:rPr>
              <w:t>Nihonbashi 2023 study</w:t>
            </w:r>
          </w:p>
        </w:tc>
        <w:tc>
          <w:tcPr>
            <w:tcW w:type="dxa" w:w="1728"/>
          </w:tcPr>
          <w:p>
            <w:r>
              <w:rPr>
                <w:sz w:val="20"/>
              </w:rPr>
              <w:t>***</w:t>
            </w:r>
          </w:p>
        </w:tc>
        <w:tc>
          <w:tcPr>
            <w:tcW w:type="dxa" w:w="1728"/>
          </w:tcPr>
          <w:p>
            <w:r>
              <w:rPr>
                <w:sz w:val="20"/>
              </w:rPr>
              <w:t>Yi Tai</w:t>
            </w:r>
          </w:p>
        </w:tc>
      </w:tr>
      <w:tr>
        <w:tc>
          <w:tcPr>
            <w:tcW w:type="dxa" w:w="1728"/>
          </w:tcPr>
          <w:p>
            <w:r>
              <w:rPr>
                <w:sz w:val="20"/>
              </w:rPr>
              <w:t>3</w:t>
            </w:r>
          </w:p>
        </w:tc>
        <w:tc>
          <w:tcPr>
            <w:tcW w:type="dxa" w:w="1728"/>
          </w:tcPr>
          <w:p>
            <w:r>
              <w:rPr>
                <w:sz w:val="20"/>
              </w:rPr>
              <w:t>OSM sidewalk graph</w:t>
            </w:r>
          </w:p>
        </w:tc>
        <w:tc>
          <w:tcPr>
            <w:tcW w:type="dxa" w:w="1728"/>
          </w:tcPr>
          <w:p>
            <w:r>
              <w:rPr>
                <w:sz w:val="20"/>
              </w:rPr>
              <w:t>OSMnx</w:t>
            </w:r>
          </w:p>
        </w:tc>
        <w:tc>
          <w:tcPr>
            <w:tcW w:type="dxa" w:w="1728"/>
          </w:tcPr>
          <w:p>
            <w:r>
              <w:rPr>
                <w:sz w:val="20"/>
              </w:rPr>
              <w:t>****</w:t>
            </w:r>
          </w:p>
        </w:tc>
        <w:tc>
          <w:tcPr>
            <w:tcW w:type="dxa" w:w="1728"/>
          </w:tcPr>
          <w:p>
            <w:r>
              <w:rPr>
                <w:sz w:val="20"/>
              </w:rPr>
              <w:t>Yi Tai</w:t>
            </w:r>
          </w:p>
        </w:tc>
      </w:tr>
      <w:tr>
        <w:tc>
          <w:tcPr>
            <w:tcW w:type="dxa" w:w="1728"/>
          </w:tcPr>
          <w:p>
            <w:r>
              <w:rPr>
                <w:sz w:val="20"/>
              </w:rPr>
              <w:t>4</w:t>
            </w:r>
          </w:p>
        </w:tc>
        <w:tc>
          <w:tcPr>
            <w:tcW w:type="dxa" w:w="1728"/>
          </w:tcPr>
          <w:p>
            <w:r>
              <w:rPr>
                <w:sz w:val="20"/>
              </w:rPr>
              <w:t>PLATEAU CityGML LOD1/LOD2</w:t>
            </w:r>
          </w:p>
        </w:tc>
        <w:tc>
          <w:tcPr>
            <w:tcW w:type="dxa" w:w="1728"/>
          </w:tcPr>
          <w:p>
            <w:r>
              <w:rPr>
                <w:sz w:val="20"/>
              </w:rPr>
              <w:t>PLATEAU VIEW 4.0</w:t>
            </w:r>
          </w:p>
        </w:tc>
        <w:tc>
          <w:tcPr>
            <w:tcW w:type="dxa" w:w="1728"/>
          </w:tcPr>
          <w:p>
            <w:r>
              <w:rPr>
                <w:sz w:val="20"/>
              </w:rPr>
              <w:t>****</w:t>
            </w:r>
          </w:p>
        </w:tc>
        <w:tc>
          <w:tcPr>
            <w:tcW w:type="dxa" w:w="1728"/>
          </w:tcPr>
          <w:p>
            <w:r>
              <w:rPr>
                <w:sz w:val="20"/>
              </w:rPr>
              <w:t>Sam</w:t>
            </w:r>
          </w:p>
        </w:tc>
      </w:tr>
      <w:tr>
        <w:tc>
          <w:tcPr>
            <w:tcW w:type="dxa" w:w="1728"/>
          </w:tcPr>
          <w:p>
            <w:r>
              <w:rPr>
                <w:sz w:val="20"/>
              </w:rPr>
              <w:t>5</w:t>
            </w:r>
          </w:p>
        </w:tc>
        <w:tc>
          <w:tcPr>
            <w:tcW w:type="dxa" w:w="1728"/>
          </w:tcPr>
          <w:p>
            <w:r>
              <w:rPr>
                <w:sz w:val="20"/>
              </w:rPr>
              <w:t>Elderly pop per parcel</w:t>
            </w:r>
          </w:p>
        </w:tc>
        <w:tc>
          <w:tcPr>
            <w:tcW w:type="dxa" w:w="1728"/>
          </w:tcPr>
          <w:p>
            <w:r>
              <w:rPr>
                <w:sz w:val="20"/>
              </w:rPr>
              <w:t>e-Stat + Tokyo Metro</w:t>
            </w:r>
          </w:p>
        </w:tc>
        <w:tc>
          <w:tcPr>
            <w:tcW w:type="dxa" w:w="1728"/>
          </w:tcPr>
          <w:p>
            <w:r>
              <w:rPr>
                <w:sz w:val="20"/>
              </w:rPr>
              <w:t>****</w:t>
            </w:r>
          </w:p>
        </w:tc>
        <w:tc>
          <w:tcPr>
            <w:tcW w:type="dxa" w:w="1728"/>
          </w:tcPr>
          <w:p>
            <w:r>
              <w:rPr>
                <w:sz w:val="20"/>
              </w:rPr>
              <w:t>Sam, Qinghao</w:t>
            </w:r>
          </w:p>
        </w:tc>
      </w:tr>
      <w:tr>
        <w:tc>
          <w:tcPr>
            <w:tcW w:type="dxa" w:w="1728"/>
          </w:tcPr>
          <w:p>
            <w:r>
              <w:rPr>
                <w:sz w:val="20"/>
              </w:rPr>
              <w:t>6</w:t>
            </w:r>
          </w:p>
        </w:tc>
        <w:tc>
          <w:tcPr>
            <w:tcW w:type="dxa" w:w="1728"/>
          </w:tcPr>
          <w:p>
            <w:r>
              <w:rPr>
                <w:sz w:val="20"/>
              </w:rPr>
              <w:t>Evacuation shelters</w:t>
            </w:r>
          </w:p>
        </w:tc>
        <w:tc>
          <w:tcPr>
            <w:tcW w:type="dxa" w:w="1728"/>
          </w:tcPr>
          <w:p>
            <w:r>
              <w:rPr>
                <w:sz w:val="20"/>
              </w:rPr>
              <w:t>Tokyo Open Data</w:t>
            </w:r>
          </w:p>
        </w:tc>
        <w:tc>
          <w:tcPr>
            <w:tcW w:type="dxa" w:w="1728"/>
          </w:tcPr>
          <w:p>
            <w:r>
              <w:rPr>
                <w:sz w:val="20"/>
              </w:rPr>
              <w:t>****</w:t>
            </w:r>
          </w:p>
        </w:tc>
        <w:tc>
          <w:tcPr>
            <w:tcW w:type="dxa" w:w="1728"/>
          </w:tcPr>
          <w:p>
            <w:r>
              <w:rPr>
                <w:sz w:val="20"/>
              </w:rPr>
              <w:t>Sam</w:t>
            </w:r>
          </w:p>
        </w:tc>
      </w:tr>
      <w:tr>
        <w:tc>
          <w:tcPr>
            <w:tcW w:type="dxa" w:w="1728"/>
          </w:tcPr>
          <w:p>
            <w:r>
              <w:rPr>
                <w:sz w:val="20"/>
              </w:rPr>
              <w:t>7</w:t>
            </w:r>
          </w:p>
        </w:tc>
        <w:tc>
          <w:tcPr>
            <w:tcW w:type="dxa" w:w="1728"/>
          </w:tcPr>
          <w:p>
            <w:r>
              <w:rPr>
                <w:sz w:val="20"/>
              </w:rPr>
              <w:t>Starship robot specs</w:t>
            </w:r>
          </w:p>
        </w:tc>
        <w:tc>
          <w:tcPr>
            <w:tcW w:type="dxa" w:w="1728"/>
          </w:tcPr>
          <w:p>
            <w:r>
              <w:rPr>
                <w:sz w:val="20"/>
              </w:rPr>
              <w:t>Public spec</w:t>
            </w:r>
          </w:p>
        </w:tc>
        <w:tc>
          <w:tcPr>
            <w:tcW w:type="dxa" w:w="1728"/>
          </w:tcPr>
          <w:p>
            <w:r>
              <w:rPr>
                <w:sz w:val="20"/>
              </w:rPr>
              <w:t>**</w:t>
            </w:r>
          </w:p>
        </w:tc>
        <w:tc>
          <w:tcPr>
            <w:tcW w:type="dxa" w:w="1728"/>
          </w:tcPr>
          <w:p>
            <w:r>
              <w:rPr>
                <w:sz w:val="20"/>
              </w:rPr>
              <w:t>Yi Tai</w:t>
            </w:r>
          </w:p>
        </w:tc>
      </w:tr>
    </w:tbl>
    <w:p/>
    <w:p>
      <w:pPr>
        <w:spacing w:before="240" w:after="80"/>
      </w:pPr>
      <w:r>
        <w:rPr>
          <w:rFonts w:ascii="Calibri" w:hAnsi="Calibri"/>
          <w:b/>
          <w:color w:val="101010"/>
          <w:sz w:val="24"/>
        </w:rPr>
        <w:t>Critical gaps (block specific phases)</w:t>
      </w:r>
    </w:p>
    <w:p>
      <w:pPr>
        <w:pStyle w:val="ListBullet"/>
      </w:pPr>
      <w:r>
        <w:rPr>
          <w:rFonts w:ascii="Calibri" w:hAnsi="Calibri"/>
          <w:sz w:val="22"/>
        </w:rPr>
        <w:t>1. Weather forecast (6-48 hr) for proactive dispatch -- enables Phase 1-3 forward-look</w:t>
      </w:r>
    </w:p>
    <w:p>
      <w:pPr>
        <w:pStyle w:val="ListBullet"/>
      </w:pPr>
      <w:r>
        <w:rPr>
          <w:rFonts w:ascii="Calibri" w:hAnsi="Calibri"/>
          <w:sz w:val="22"/>
        </w:rPr>
        <w:t>2. Tokyo Fire Dept heatstroke ambulance-transport data -- vulnerable-pop ground truth</w:t>
      </w:r>
    </w:p>
    <w:p>
      <w:pPr>
        <w:pStyle w:val="ListBullet"/>
      </w:pPr>
      <w:r>
        <w:rPr>
          <w:rFonts w:ascii="Calibri" w:hAnsi="Calibri"/>
          <w:sz w:val="22"/>
        </w:rPr>
        <w:t>3. METI 2023 sidewalk-robot regulation -- design constraint</w:t>
      </w:r>
    </w:p>
    <w:p>
      <w:pPr>
        <w:pStyle w:val="ListBullet"/>
      </w:pPr>
      <w:r>
        <w:rPr>
          <w:rFonts w:ascii="Calibri" w:hAnsi="Calibri"/>
          <w:sz w:val="22"/>
        </w:rPr>
        <w:t>4. Pedestrian behavior under heat (GPS re-analysis by temperature bin)</w:t>
      </w:r>
    </w:p>
    <w:p>
      <w:pPr>
        <w:pStyle w:val="ListBullet"/>
      </w:pPr>
      <w:r>
        <w:rPr>
          <w:rFonts w:ascii="Calibri" w:hAnsi="Calibri"/>
          <w:sz w:val="22"/>
        </w:rPr>
        <w:t>5. Per-segment sidewalk widths -- ABM and Phase 6.2 sensor coverage</w:t>
      </w:r>
    </w:p>
    <w:p>
      <w:pPr>
        <w:pStyle w:val="ListBullet"/>
      </w:pPr>
      <w:r>
        <w:rPr>
          <w:rFonts w:ascii="Calibri" w:hAnsi="Calibri"/>
          <w:sz w:val="22"/>
        </w:rPr>
        <w:t>6. PLATEAU LOD2 catchment USD / glTF tiles -- Phase 6.1 browser twin</w:t>
      </w:r>
    </w:p>
    <w:p>
      <w:pPr>
        <w:pStyle w:val="ListBullet"/>
      </w:pPr>
      <w:r>
        <w:rPr>
          <w:rFonts w:ascii="Calibri" w:hAnsi="Calibri"/>
          <w:sz w:val="22"/>
        </w:rPr>
        <w:t>7. Robot CAD source from Rhino -- gating for Phases 5 and 6</w:t>
      </w:r>
    </w:p>
    <w:p>
      <w:pPr>
        <w:pStyle w:val="ListBullet"/>
      </w:pPr>
      <w:r>
        <w:rPr>
          <w:rFonts w:ascii="Calibri" w:hAnsi="Calibri"/>
          <w:sz w:val="22"/>
        </w:rPr>
        <w:t>8. Sensor specs (camera FOV, lidar range, ultrasonic placement) -- Phase 6.2 coverage polygons</w:t>
      </w:r>
    </w:p>
    <w:p>
      <w:pPr>
        <w:spacing w:before="240" w:after="80"/>
      </w:pPr>
      <w:r>
        <w:rPr>
          <w:rFonts w:ascii="Calibri" w:hAnsi="Calibri"/>
          <w:b/>
          <w:color w:val="101010"/>
          <w:sz w:val="24"/>
        </w:rPr>
        <w:t>Should-have gaps (lift fidelity)</w:t>
      </w:r>
    </w:p>
    <w:p>
      <w:pPr>
        <w:pStyle w:val="ListBullet"/>
      </w:pPr>
      <w:r>
        <w:rPr>
          <w:rFonts w:ascii="Calibri" w:hAnsi="Calibri"/>
          <w:sz w:val="22"/>
        </w:rPr>
        <w:t>9. e-Stat 6th mesh (125 m) demographic resolution</w:t>
      </w:r>
    </w:p>
    <w:p>
      <w:pPr>
        <w:pStyle w:val="ListBullet"/>
      </w:pPr>
      <w:r>
        <w:rPr>
          <w:rFonts w:ascii="Calibri" w:hAnsi="Calibri"/>
          <w:sz w:val="22"/>
        </w:rPr>
        <w:t>10. WBGT  &lt;-&gt;  NWS Heat Index reconciliation table</w:t>
      </w:r>
    </w:p>
    <w:p>
      <w:pPr>
        <w:pStyle w:val="ListBullet"/>
      </w:pPr>
      <w:r>
        <w:rPr>
          <w:rFonts w:ascii="Calibri" w:hAnsi="Calibri"/>
          <w:sz w:val="22"/>
        </w:rPr>
        <w:t>11. Vulnerable-population dwell-time map (parks, benches, shaded areas)</w:t>
      </w:r>
    </w:p>
    <w:p>
      <w:pPr>
        <w:pStyle w:val="ListBullet"/>
      </w:pPr>
      <w:r>
        <w:rPr>
          <w:rFonts w:ascii="Calibri" w:hAnsi="Calibri"/>
          <w:sz w:val="22"/>
        </w:rPr>
        <w:t>12. Nihonbashi service-node inventory (CVS, vending, public toilets, transit exits)</w:t>
      </w:r>
    </w:p>
    <w:p>
      <w:pPr>
        <w:pStyle w:val="ListBullet"/>
      </w:pPr>
      <w:r>
        <w:rPr>
          <w:rFonts w:ascii="Calibri" w:hAnsi="Calibri"/>
          <w:sz w:val="22"/>
        </w:rPr>
        <w:t>13. Japanese-language signage overlay for the browser twin</w:t>
      </w:r>
    </w:p>
    <w:p>
      <w:pPr>
        <w:pStyle w:val="ListBullet"/>
      </w:pPr>
      <w:r>
        <w:rPr>
          <w:rFonts w:ascii="Calibri" w:hAnsi="Calibri"/>
          <w:sz w:val="22"/>
        </w:rPr>
        <w:t>14. Pre-rendered Blender hero shots for slide covers + walkthrough video</w:t>
      </w:r>
    </w:p>
    <w:p>
      <w:pPr>
        <w:pStyle w:val="ListBullet"/>
      </w:pPr>
      <w:r>
        <w:rPr>
          <w:rFonts w:ascii="Calibri" w:hAnsi="Calibri"/>
          <w:sz w:val="22"/>
        </w:rPr>
        <w:t>15. (Stretch only) Photoreal CAD suitable for Isaac Sim hero video</w:t>
      </w:r>
    </w:p>
    <w:p>
      <w:r>
        <w:br w:type="page"/>
      </w:r>
    </w:p>
    <w:p>
      <w:pPr>
        <w:spacing w:before="240" w:after="80"/>
      </w:pPr>
      <w:r>
        <w:rPr>
          <w:rFonts w:ascii="Calibri" w:hAnsi="Calibri"/>
          <w:b/>
          <w:color w:val="101010"/>
          <w:sz w:val="30"/>
        </w:rPr>
        <w:t>6. Compute, Tooling, and Team</w:t>
      </w:r>
    </w:p>
    <w:p>
      <w:pPr>
        <w:spacing w:before="240" w:after="80"/>
      </w:pPr>
      <w:r>
        <w:rPr>
          <w:rFonts w:ascii="Calibri" w:hAnsi="Calibri"/>
          <w:b/>
          <w:color w:val="101010"/>
          <w:sz w:val="24"/>
        </w:rPr>
        <w:t>Compute architecture</w:t>
      </w:r>
    </w:p>
    <w:p>
      <w:pPr>
        <w:spacing w:after="120"/>
      </w:pPr>
      <w:r>
        <w:rPr>
          <w:rFonts w:ascii="Calibri" w:hAnsi="Calibri"/>
          <w:i w:val="0"/>
          <w:sz w:val="22"/>
        </w:rPr>
        <w:t>IAC-VLABB-2021 (Xeon Gold 6254 dual-socket, 36 physical / 72 logical CPUs, 768 GB RAM, Windows Server 2019) provides headless compute and hosting. The VM has no GPU, which rules out RTX-dependent workloads on the server itself. Team laptops handle CAD (Rhino), ArcGIS Pro 3D editing, Blender rendering, and browser viewing. Stakeholder browsers consume the output -- no client-side GPU is required.</w:t>
      </w:r>
    </w:p>
    <w:p>
      <w:pPr>
        <w:spacing w:before="240" w:after="80"/>
      </w:pPr>
      <w:r>
        <w:rPr>
          <w:rFonts w:ascii="Calibri" w:hAnsi="Calibri"/>
          <w:b/>
          <w:color w:val="101010"/>
          <w:sz w:val="24"/>
        </w:rPr>
        <w:t>Tooling stack</w:t>
      </w:r>
    </w:p>
    <w:p>
      <w:pPr>
        <w:spacing w:after="120"/>
      </w:pPr>
      <w:r>
        <w:rPr>
          <w:rFonts w:ascii="Calibri" w:hAnsi="Calibri"/>
          <w:i w:val="0"/>
          <w:sz w:val="22"/>
        </w:rPr>
        <w:t>All software is free, educational, or already GT-licensed. Phases 1, 3, and 5 use Python with Mesa, SUMO, GeoPandas, scikit-learn (re-using the Tokyo Studio classifier). Phase 4 uses Rhino + Grasshopper (Xilin's existing tool), Fusion 360 (educational free) for an engineering pass, and Blender for export. Phase 6.1 uses ArcGIS Urban + Experience Builder (already in production) as the primary 3D twin platform, with CesiumJS as an open-source alternative. Phase 6.2 uses Mesa + Shapely + GeoPandas for geometric sensor and motion validation. Hosting uses Flask, Streamlit, and ArcGIS Online. NVIDIA Isaac Sim is reserved for the conditional stretch goal.</w:t>
      </w:r>
    </w:p>
    <w:p>
      <w:pPr>
        <w:spacing w:before="240" w:after="80"/>
      </w:pPr>
      <w:r>
        <w:rPr>
          <w:rFonts w:ascii="Calibri" w:hAnsi="Calibri"/>
          <w:b/>
          <w:color w:val="101010"/>
          <w:sz w:val="24"/>
        </w:rPr>
        <w:t>Team and RACI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Workstream</w:t>
            </w:r>
          </w:p>
        </w:tc>
        <w:tc>
          <w:tcPr>
            <w:tcW w:type="dxa" w:w="1728"/>
          </w:tcPr>
          <w:p>
            <w:r>
              <w:rPr>
                <w:b/>
                <w:sz w:val="20"/>
              </w:rPr>
              <w:t>Sam</w:t>
            </w:r>
          </w:p>
        </w:tc>
        <w:tc>
          <w:tcPr>
            <w:tcW w:type="dxa" w:w="1728"/>
          </w:tcPr>
          <w:p>
            <w:r>
              <w:rPr>
                <w:b/>
                <w:sz w:val="20"/>
              </w:rPr>
              <w:t>Xilin</w:t>
            </w:r>
          </w:p>
        </w:tc>
        <w:tc>
          <w:tcPr>
            <w:tcW w:type="dxa" w:w="1728"/>
          </w:tcPr>
          <w:p>
            <w:r>
              <w:rPr>
                <w:b/>
                <w:sz w:val="20"/>
              </w:rPr>
              <w:t>Yi Tai</w:t>
            </w:r>
          </w:p>
        </w:tc>
        <w:tc>
          <w:tcPr>
            <w:tcW w:type="dxa" w:w="1728"/>
          </w:tcPr>
          <w:p>
            <w:r>
              <w:rPr>
                <w:b/>
                <w:sz w:val="20"/>
              </w:rPr>
              <w:t>Qinghao</w:t>
            </w:r>
          </w:p>
        </w:tc>
      </w:tr>
      <w:tr>
        <w:tc>
          <w:tcPr>
            <w:tcW w:type="dxa" w:w="1728"/>
          </w:tcPr>
          <w:p>
            <w:r>
              <w:rPr>
                <w:sz w:val="20"/>
              </w:rPr>
              <w:t>Data acquisition + GIS layer</w:t>
            </w:r>
          </w:p>
        </w:tc>
        <w:tc>
          <w:tcPr>
            <w:tcW w:type="dxa" w:w="1728"/>
          </w:tcPr>
          <w:p>
            <w:r>
              <w:rPr>
                <w:sz w:val="20"/>
              </w:rPr>
              <w:t>R/A</w:t>
            </w:r>
          </w:p>
        </w:tc>
        <w:tc>
          <w:tcPr>
            <w:tcW w:type="dxa" w:w="1728"/>
          </w:tcPr>
          <w:p>
            <w:r>
              <w:rPr>
                <w:sz w:val="20"/>
              </w:rPr>
              <w:t>C</w:t>
            </w:r>
          </w:p>
        </w:tc>
        <w:tc>
          <w:tcPr>
            <w:tcW w:type="dxa" w:w="1728"/>
          </w:tcPr>
          <w:p>
            <w:r>
              <w:rPr>
                <w:sz w:val="20"/>
              </w:rPr>
              <w:t>C</w:t>
            </w:r>
          </w:p>
        </w:tc>
        <w:tc>
          <w:tcPr>
            <w:tcW w:type="dxa" w:w="1728"/>
          </w:tcPr>
          <w:p>
            <w:r>
              <w:rPr>
                <w:sz w:val="20"/>
              </w:rPr>
              <w:t>C</w:t>
            </w:r>
          </w:p>
        </w:tc>
      </w:tr>
      <w:tr>
        <w:tc>
          <w:tcPr>
            <w:tcW w:type="dxa" w:w="1728"/>
          </w:tcPr>
          <w:p>
            <w:r>
              <w:rPr>
                <w:sz w:val="20"/>
              </w:rPr>
              <w:t>Phase 1  --  baseline ABM</w:t>
            </w:r>
          </w:p>
        </w:tc>
        <w:tc>
          <w:tcPr>
            <w:tcW w:type="dxa" w:w="1728"/>
          </w:tcPr>
          <w:p>
            <w:r>
              <w:rPr>
                <w:sz w:val="20"/>
              </w:rPr>
              <w:t>C</w:t>
            </w:r>
          </w:p>
        </w:tc>
        <w:tc>
          <w:tcPr>
            <w:tcW w:type="dxa" w:w="1728"/>
          </w:tcPr>
          <w:p>
            <w:r>
              <w:rPr>
                <w:sz w:val="20"/>
              </w:rPr>
              <w:t>I</w:t>
            </w:r>
          </w:p>
        </w:tc>
        <w:tc>
          <w:tcPr>
            <w:tcW w:type="dxa" w:w="1728"/>
          </w:tcPr>
          <w:p>
            <w:r>
              <w:rPr>
                <w:sz w:val="20"/>
              </w:rPr>
              <w:t>R/A</w:t>
            </w:r>
          </w:p>
        </w:tc>
        <w:tc>
          <w:tcPr>
            <w:tcW w:type="dxa" w:w="1728"/>
          </w:tcPr>
          <w:p>
            <w:r>
              <w:rPr>
                <w:sz w:val="20"/>
              </w:rPr>
              <w:t>C</w:t>
            </w:r>
          </w:p>
        </w:tc>
      </w:tr>
      <w:tr>
        <w:tc>
          <w:tcPr>
            <w:tcW w:type="dxa" w:w="1728"/>
          </w:tcPr>
          <w:p>
            <w:r>
              <w:rPr>
                <w:sz w:val="20"/>
              </w:rPr>
              <w:t>Phase 2  --  concept design</w:t>
            </w:r>
          </w:p>
        </w:tc>
        <w:tc>
          <w:tcPr>
            <w:tcW w:type="dxa" w:w="1728"/>
          </w:tcPr>
          <w:p>
            <w:r>
              <w:rPr>
                <w:sz w:val="20"/>
              </w:rPr>
              <w:t>C</w:t>
            </w:r>
          </w:p>
        </w:tc>
        <w:tc>
          <w:tcPr>
            <w:tcW w:type="dxa" w:w="1728"/>
          </w:tcPr>
          <w:p>
            <w:r>
              <w:rPr>
                <w:sz w:val="20"/>
              </w:rPr>
              <w:t>R/A</w:t>
            </w:r>
          </w:p>
        </w:tc>
        <w:tc>
          <w:tcPr>
            <w:tcW w:type="dxa" w:w="1728"/>
          </w:tcPr>
          <w:p>
            <w:r>
              <w:rPr>
                <w:sz w:val="20"/>
              </w:rPr>
              <w:t>C</w:t>
            </w:r>
          </w:p>
        </w:tc>
        <w:tc>
          <w:tcPr>
            <w:tcW w:type="dxa" w:w="1728"/>
          </w:tcPr>
          <w:p>
            <w:r>
              <w:rPr>
                <w:sz w:val="20"/>
              </w:rPr>
              <w:t>C</w:t>
            </w:r>
          </w:p>
        </w:tc>
      </w:tr>
      <w:tr>
        <w:tc>
          <w:tcPr>
            <w:tcW w:type="dxa" w:w="1728"/>
          </w:tcPr>
          <w:p>
            <w:r>
              <w:rPr>
                <w:sz w:val="20"/>
              </w:rPr>
              <w:t>Phase 3  --  A/B simulation + iteration</w:t>
            </w:r>
          </w:p>
        </w:tc>
        <w:tc>
          <w:tcPr>
            <w:tcW w:type="dxa" w:w="1728"/>
          </w:tcPr>
          <w:p>
            <w:r>
              <w:rPr>
                <w:sz w:val="20"/>
              </w:rPr>
              <w:t>R</w:t>
            </w:r>
          </w:p>
        </w:tc>
        <w:tc>
          <w:tcPr>
            <w:tcW w:type="dxa" w:w="1728"/>
          </w:tcPr>
          <w:p>
            <w:r>
              <w:rPr>
                <w:sz w:val="20"/>
              </w:rPr>
              <w:t>C</w:t>
            </w:r>
          </w:p>
        </w:tc>
        <w:tc>
          <w:tcPr>
            <w:tcW w:type="dxa" w:w="1728"/>
          </w:tcPr>
          <w:p>
            <w:r>
              <w:rPr>
                <w:sz w:val="20"/>
              </w:rPr>
              <w:t>R/A</w:t>
            </w:r>
          </w:p>
        </w:tc>
        <w:tc>
          <w:tcPr>
            <w:tcW w:type="dxa" w:w="1728"/>
          </w:tcPr>
          <w:p>
            <w:r>
              <w:rPr>
                <w:sz w:val="20"/>
              </w:rPr>
              <w:t>C</w:t>
            </w:r>
          </w:p>
        </w:tc>
      </w:tr>
      <w:tr>
        <w:tc>
          <w:tcPr>
            <w:tcW w:type="dxa" w:w="1728"/>
          </w:tcPr>
          <w:p>
            <w:r>
              <w:rPr>
                <w:sz w:val="20"/>
              </w:rPr>
              <w:t>Phase 4  --  CAD optimization</w:t>
            </w:r>
          </w:p>
        </w:tc>
        <w:tc>
          <w:tcPr>
            <w:tcW w:type="dxa" w:w="1728"/>
          </w:tcPr>
          <w:p>
            <w:r>
              <w:rPr>
                <w:sz w:val="20"/>
              </w:rPr>
              <w:t>C</w:t>
            </w:r>
          </w:p>
        </w:tc>
        <w:tc>
          <w:tcPr>
            <w:tcW w:type="dxa" w:w="1728"/>
          </w:tcPr>
          <w:p>
            <w:r>
              <w:rPr>
                <w:sz w:val="20"/>
              </w:rPr>
              <w:t>R/A</w:t>
            </w:r>
          </w:p>
        </w:tc>
        <w:tc>
          <w:tcPr>
            <w:tcW w:type="dxa" w:w="1728"/>
          </w:tcPr>
          <w:p>
            <w:r>
              <w:rPr>
                <w:sz w:val="20"/>
              </w:rPr>
              <w:t>I</w:t>
            </w:r>
          </w:p>
        </w:tc>
        <w:tc>
          <w:tcPr>
            <w:tcW w:type="dxa" w:w="1728"/>
          </w:tcPr>
          <w:p>
            <w:r>
              <w:rPr>
                <w:sz w:val="20"/>
              </w:rPr>
              <w:t>I</w:t>
            </w:r>
          </w:p>
        </w:tc>
      </w:tr>
      <w:tr>
        <w:tc>
          <w:tcPr>
            <w:tcW w:type="dxa" w:w="1728"/>
          </w:tcPr>
          <w:p>
            <w:r>
              <w:rPr>
                <w:sz w:val="20"/>
              </w:rPr>
              <w:t>Phase 5  --  re-sim on VLAB server</w:t>
            </w:r>
          </w:p>
        </w:tc>
        <w:tc>
          <w:tcPr>
            <w:tcW w:type="dxa" w:w="1728"/>
          </w:tcPr>
          <w:p>
            <w:r>
              <w:rPr>
                <w:sz w:val="20"/>
              </w:rPr>
              <w:t>C</w:t>
            </w:r>
          </w:p>
        </w:tc>
        <w:tc>
          <w:tcPr>
            <w:tcW w:type="dxa" w:w="1728"/>
          </w:tcPr>
          <w:p>
            <w:r>
              <w:rPr>
                <w:sz w:val="20"/>
              </w:rPr>
              <w:t>C</w:t>
            </w:r>
          </w:p>
        </w:tc>
        <w:tc>
          <w:tcPr>
            <w:tcW w:type="dxa" w:w="1728"/>
          </w:tcPr>
          <w:p>
            <w:r>
              <w:rPr>
                <w:sz w:val="20"/>
              </w:rPr>
              <w:t>R/A</w:t>
            </w:r>
          </w:p>
        </w:tc>
        <w:tc>
          <w:tcPr>
            <w:tcW w:type="dxa" w:w="1728"/>
          </w:tcPr>
          <w:p>
            <w:r>
              <w:rPr>
                <w:sz w:val="20"/>
              </w:rPr>
              <w:t>C</w:t>
            </w:r>
          </w:p>
        </w:tc>
      </w:tr>
      <w:tr>
        <w:tc>
          <w:tcPr>
            <w:tcW w:type="dxa" w:w="1728"/>
          </w:tcPr>
          <w:p>
            <w:r>
              <w:rPr>
                <w:sz w:val="20"/>
              </w:rPr>
              <w:t>Phase 6.1  --  Browser 3D twin</w:t>
            </w:r>
          </w:p>
        </w:tc>
        <w:tc>
          <w:tcPr>
            <w:tcW w:type="dxa" w:w="1728"/>
          </w:tcPr>
          <w:p>
            <w:r>
              <w:rPr>
                <w:sz w:val="20"/>
              </w:rPr>
              <w:t>R/A</w:t>
            </w:r>
          </w:p>
        </w:tc>
        <w:tc>
          <w:tcPr>
            <w:tcW w:type="dxa" w:w="1728"/>
          </w:tcPr>
          <w:p>
            <w:r>
              <w:rPr>
                <w:sz w:val="20"/>
              </w:rPr>
              <w:t>C</w:t>
            </w:r>
          </w:p>
        </w:tc>
        <w:tc>
          <w:tcPr>
            <w:tcW w:type="dxa" w:w="1728"/>
          </w:tcPr>
          <w:p>
            <w:r>
              <w:rPr>
                <w:sz w:val="20"/>
              </w:rPr>
              <w:t>I</w:t>
            </w:r>
          </w:p>
        </w:tc>
        <w:tc>
          <w:tcPr>
            <w:tcW w:type="dxa" w:w="1728"/>
          </w:tcPr>
          <w:p>
            <w:r>
              <w:rPr>
                <w:sz w:val="20"/>
              </w:rPr>
              <w:t>C</w:t>
            </w:r>
          </w:p>
        </w:tc>
      </w:tr>
      <w:tr>
        <w:tc>
          <w:tcPr>
            <w:tcW w:type="dxa" w:w="1728"/>
          </w:tcPr>
          <w:p>
            <w:r>
              <w:rPr>
                <w:sz w:val="20"/>
              </w:rPr>
              <w:t>Phase 6.2  --  Sensor + motion validation</w:t>
            </w:r>
          </w:p>
        </w:tc>
        <w:tc>
          <w:tcPr>
            <w:tcW w:type="dxa" w:w="1728"/>
          </w:tcPr>
          <w:p>
            <w:r>
              <w:rPr>
                <w:sz w:val="20"/>
              </w:rPr>
              <w:t>R</w:t>
            </w:r>
          </w:p>
        </w:tc>
        <w:tc>
          <w:tcPr>
            <w:tcW w:type="dxa" w:w="1728"/>
          </w:tcPr>
          <w:p>
            <w:r>
              <w:rPr>
                <w:sz w:val="20"/>
              </w:rPr>
              <w:t>C</w:t>
            </w:r>
          </w:p>
        </w:tc>
        <w:tc>
          <w:tcPr>
            <w:tcW w:type="dxa" w:w="1728"/>
          </w:tcPr>
          <w:p>
            <w:r>
              <w:rPr>
                <w:sz w:val="20"/>
              </w:rPr>
              <w:t>R/A</w:t>
            </w:r>
          </w:p>
        </w:tc>
        <w:tc>
          <w:tcPr>
            <w:tcW w:type="dxa" w:w="1728"/>
          </w:tcPr>
          <w:p>
            <w:r>
              <w:rPr>
                <w:sz w:val="20"/>
              </w:rPr>
              <w:t>I</w:t>
            </w:r>
          </w:p>
        </w:tc>
      </w:tr>
      <w:tr>
        <w:tc>
          <w:tcPr>
            <w:tcW w:type="dxa" w:w="1728"/>
          </w:tcPr>
          <w:p>
            <w:r>
              <w:rPr>
                <w:sz w:val="20"/>
              </w:rPr>
              <w:t>Variable matrix maintenance</w:t>
            </w:r>
          </w:p>
        </w:tc>
        <w:tc>
          <w:tcPr>
            <w:tcW w:type="dxa" w:w="1728"/>
          </w:tcPr>
          <w:p>
            <w:r>
              <w:rPr>
                <w:sz w:val="20"/>
              </w:rPr>
              <w:t>C</w:t>
            </w:r>
          </w:p>
        </w:tc>
        <w:tc>
          <w:tcPr>
            <w:tcW w:type="dxa" w:w="1728"/>
          </w:tcPr>
          <w:p>
            <w:r>
              <w:rPr>
                <w:sz w:val="20"/>
              </w:rPr>
              <w:t>R/A</w:t>
            </w:r>
          </w:p>
        </w:tc>
        <w:tc>
          <w:tcPr>
            <w:tcW w:type="dxa" w:w="1728"/>
          </w:tcPr>
          <w:p>
            <w:r>
              <w:rPr>
                <w:sz w:val="20"/>
              </w:rPr>
              <w:t>C</w:t>
            </w:r>
          </w:p>
        </w:tc>
        <w:tc>
          <w:tcPr>
            <w:tcW w:type="dxa" w:w="1728"/>
          </w:tcPr>
          <w:p>
            <w:r>
              <w:rPr>
                <w:sz w:val="20"/>
              </w:rPr>
              <w:t>C</w:t>
            </w:r>
          </w:p>
        </w:tc>
      </w:tr>
      <w:tr>
        <w:tc>
          <w:tcPr>
            <w:tcW w:type="dxa" w:w="1728"/>
          </w:tcPr>
          <w:p>
            <w:r>
              <w:rPr>
                <w:sz w:val="20"/>
              </w:rPr>
              <w:t>Slides + reports</w:t>
            </w:r>
          </w:p>
        </w:tc>
        <w:tc>
          <w:tcPr>
            <w:tcW w:type="dxa" w:w="1728"/>
          </w:tcPr>
          <w:p>
            <w:r>
              <w:rPr>
                <w:sz w:val="20"/>
              </w:rPr>
              <w:t>R/A</w:t>
            </w:r>
          </w:p>
        </w:tc>
        <w:tc>
          <w:tcPr>
            <w:tcW w:type="dxa" w:w="1728"/>
          </w:tcPr>
          <w:p>
            <w:r>
              <w:rPr>
                <w:sz w:val="20"/>
              </w:rPr>
              <w:t>C</w:t>
            </w:r>
          </w:p>
        </w:tc>
        <w:tc>
          <w:tcPr>
            <w:tcW w:type="dxa" w:w="1728"/>
          </w:tcPr>
          <w:p>
            <w:r>
              <w:rPr>
                <w:sz w:val="20"/>
              </w:rPr>
              <w:t>C</w:t>
            </w:r>
          </w:p>
        </w:tc>
        <w:tc>
          <w:tcPr>
            <w:tcW w:type="dxa" w:w="1728"/>
          </w:tcPr>
          <w:p>
            <w:r>
              <w:rPr>
                <w:sz w:val="20"/>
              </w:rPr>
              <w:t>C</w:t>
            </w:r>
          </w:p>
        </w:tc>
      </w:tr>
    </w:tbl>
    <w:p/>
    <w:p>
      <w:r>
        <w:br w:type="page"/>
      </w:r>
    </w:p>
    <w:p>
      <w:pPr>
        <w:spacing w:before="240" w:after="80"/>
      </w:pPr>
      <w:r>
        <w:rPr>
          <w:rFonts w:ascii="Calibri" w:hAnsi="Calibri"/>
          <w:b/>
          <w:color w:val="101010"/>
          <w:sz w:val="30"/>
        </w:rPr>
        <w:t>7. Risks, Asks, Decisions, and Stretch Goal</w:t>
      </w:r>
    </w:p>
    <w:p>
      <w:pPr>
        <w:spacing w:before="240" w:after="80"/>
      </w:pPr>
      <w:r>
        <w:rPr>
          <w:rFonts w:ascii="Calibri" w:hAnsi="Calibri"/>
          <w:b/>
          <w:color w:val="101010"/>
          <w:sz w:val="24"/>
        </w:rPr>
        <w:t>Risks and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Risk</w:t>
            </w:r>
          </w:p>
        </w:tc>
        <w:tc>
          <w:tcPr>
            <w:tcW w:type="dxa" w:w="2880"/>
          </w:tcPr>
          <w:p>
            <w:r>
              <w:rPr>
                <w:b/>
                <w:sz w:val="20"/>
              </w:rPr>
              <w:t>Severity</w:t>
            </w:r>
          </w:p>
        </w:tc>
        <w:tc>
          <w:tcPr>
            <w:tcW w:type="dxa" w:w="2880"/>
          </w:tcPr>
          <w:p>
            <w:r>
              <w:rPr>
                <w:b/>
                <w:sz w:val="20"/>
              </w:rPr>
              <w:t>Mitigation</w:t>
            </w:r>
          </w:p>
        </w:tc>
      </w:tr>
      <w:tr>
        <w:tc>
          <w:tcPr>
            <w:tcW w:type="dxa" w:w="2880"/>
          </w:tcPr>
          <w:p>
            <w:r>
              <w:rPr>
                <w:sz w:val="20"/>
              </w:rPr>
              <w:t>VLAB admin / firewall lockdown blocks dev work</w:t>
            </w:r>
          </w:p>
        </w:tc>
        <w:tc>
          <w:tcPr>
            <w:tcW w:type="dxa" w:w="2880"/>
          </w:tcPr>
          <w:p>
            <w:r>
              <w:rPr>
                <w:sz w:val="20"/>
              </w:rPr>
              <w:t>High</w:t>
            </w:r>
          </w:p>
        </w:tc>
        <w:tc>
          <w:tcPr>
            <w:tcW w:type="dxa" w:w="2880"/>
          </w:tcPr>
          <w:p>
            <w:r>
              <w:rPr>
                <w:sz w:val="20"/>
              </w:rPr>
              <w:t>Confirm dev shell + outbound network with IT early</w:t>
            </w:r>
          </w:p>
        </w:tc>
      </w:tr>
      <w:tr>
        <w:tc>
          <w:tcPr>
            <w:tcW w:type="dxa" w:w="2880"/>
          </w:tcPr>
          <w:p>
            <w:r>
              <w:rPr>
                <w:sz w:val="20"/>
              </w:rPr>
              <w:t>Phase 4 CAD lags Phase 3 hand-off</w:t>
            </w:r>
          </w:p>
        </w:tc>
        <w:tc>
          <w:tcPr>
            <w:tcW w:type="dxa" w:w="2880"/>
          </w:tcPr>
          <w:p>
            <w:r>
              <w:rPr>
                <w:sz w:val="20"/>
              </w:rPr>
              <w:t>High</w:t>
            </w:r>
          </w:p>
        </w:tc>
        <w:tc>
          <w:tcPr>
            <w:tcW w:type="dxa" w:w="2880"/>
          </w:tcPr>
          <w:p>
            <w:r>
              <w:rPr>
                <w:sz w:val="20"/>
              </w:rPr>
              <w:t>Parameter-only Phase 5 dry run while CAD is in flight</w:t>
            </w:r>
          </w:p>
        </w:tc>
      </w:tr>
      <w:tr>
        <w:tc>
          <w:tcPr>
            <w:tcW w:type="dxa" w:w="2880"/>
          </w:tcPr>
          <w:p>
            <w:r>
              <w:rPr>
                <w:sz w:val="20"/>
              </w:rPr>
              <w:t>Browser performance at full crowd density</w:t>
            </w:r>
          </w:p>
        </w:tc>
        <w:tc>
          <w:tcPr>
            <w:tcW w:type="dxa" w:w="2880"/>
          </w:tcPr>
          <w:p>
            <w:r>
              <w:rPr>
                <w:sz w:val="20"/>
              </w:rPr>
              <w:t>Medium</w:t>
            </w:r>
          </w:p>
        </w:tc>
        <w:tc>
          <w:tcPr>
            <w:tcW w:type="dxa" w:w="2880"/>
          </w:tcPr>
          <w:p>
            <w:r>
              <w:rPr>
                <w:sz w:val="20"/>
              </w:rPr>
              <w:t>Aggregate to heatmap; fall back to tile pyramids</w:t>
            </w:r>
          </w:p>
        </w:tc>
      </w:tr>
      <w:tr>
        <w:tc>
          <w:tcPr>
            <w:tcW w:type="dxa" w:w="2880"/>
          </w:tcPr>
          <w:p>
            <w:r>
              <w:rPr>
                <w:sz w:val="20"/>
              </w:rPr>
              <w:t>LOD2 underwhelms stakeholders visually</w:t>
            </w:r>
          </w:p>
        </w:tc>
        <w:tc>
          <w:tcPr>
            <w:tcW w:type="dxa" w:w="2880"/>
          </w:tcPr>
          <w:p>
            <w:r>
              <w:rPr>
                <w:sz w:val="20"/>
              </w:rPr>
              <w:t>Medium</w:t>
            </w:r>
          </w:p>
        </w:tc>
        <w:tc>
          <w:tcPr>
            <w:tcW w:type="dxa" w:w="2880"/>
          </w:tcPr>
          <w:p>
            <w:r>
              <w:rPr>
                <w:sz w:val="20"/>
              </w:rPr>
              <w:t>Pre-rendered Blender hero shots provide the wow moment</w:t>
            </w:r>
          </w:p>
        </w:tc>
      </w:tr>
      <w:tr>
        <w:tc>
          <w:tcPr>
            <w:tcW w:type="dxa" w:w="2880"/>
          </w:tcPr>
          <w:p>
            <w:r>
              <w:rPr>
                <w:sz w:val="20"/>
              </w:rPr>
              <w:t>Data gap closure stalls (item 4, 5, or 8)</w:t>
            </w:r>
          </w:p>
        </w:tc>
        <w:tc>
          <w:tcPr>
            <w:tcW w:type="dxa" w:w="2880"/>
          </w:tcPr>
          <w:p>
            <w:r>
              <w:rPr>
                <w:sz w:val="20"/>
              </w:rPr>
              <w:t>Medium</w:t>
            </w:r>
          </w:p>
        </w:tc>
        <w:tc>
          <w:tcPr>
            <w:tcW w:type="dxa" w:w="2880"/>
          </w:tcPr>
          <w:p>
            <w:r>
              <w:rPr>
                <w:sz w:val="20"/>
              </w:rPr>
              <w:t>Parallelize acquisition; use OSM defaults as fallback</w:t>
            </w:r>
          </w:p>
        </w:tc>
      </w:tr>
    </w:tbl>
    <w:p/>
    <w:p>
      <w:pPr>
        <w:spacing w:before="240" w:after="80"/>
      </w:pPr>
      <w:r>
        <w:rPr>
          <w:rFonts w:ascii="Calibri" w:hAnsi="Calibri"/>
          <w:b/>
          <w:color w:val="101010"/>
          <w:sz w:val="24"/>
        </w:rPr>
        <w:t>Asks</w:t>
      </w:r>
    </w:p>
    <w:p>
      <w:pPr>
        <w:pStyle w:val="ListBullet"/>
      </w:pPr>
      <w:r>
        <w:rPr>
          <w:rFonts w:ascii="Calibri" w:hAnsi="Calibri"/>
          <w:sz w:val="22"/>
        </w:rPr>
        <w:t>VLAB server dev access: Python environment, Docker, outbound network ports, shared storage.</w:t>
      </w:r>
    </w:p>
    <w:p>
      <w:pPr>
        <w:pStyle w:val="ListBullet"/>
      </w:pPr>
      <w:r>
        <w:rPr>
          <w:rFonts w:ascii="Calibri" w:hAnsi="Calibri"/>
          <w:sz w:val="22"/>
        </w:rPr>
        <w:t>ArcGIS Online credits (~$50) for the published web scene.</w:t>
      </w:r>
    </w:p>
    <w:p>
      <w:pPr>
        <w:pStyle w:val="ListBullet"/>
      </w:pPr>
      <w:r>
        <w:rPr>
          <w:rFonts w:ascii="Calibri" w:hAnsi="Calibri"/>
          <w:sz w:val="22"/>
        </w:rPr>
        <w:t>Stakeholder demo slot for the final twin presentation.</w:t>
      </w:r>
    </w:p>
    <w:p>
      <w:pPr>
        <w:pStyle w:val="ListBullet"/>
      </w:pPr>
      <w:r>
        <w:rPr>
          <w:rFonts w:ascii="Calibri" w:hAnsi="Calibri"/>
          <w:sz w:val="22"/>
        </w:rPr>
        <w:t>Weekly 30-minute team sync (async-first repo workflow in between).</w:t>
      </w:r>
    </w:p>
    <w:p>
      <w:pPr>
        <w:spacing w:before="240" w:after="80"/>
      </w:pPr>
      <w:r>
        <w:rPr>
          <w:rFonts w:ascii="Calibri" w:hAnsi="Calibri"/>
          <w:b/>
          <w:color w:val="101010"/>
          <w:sz w:val="24"/>
        </w:rPr>
        <w:t>Stretch goal -- NVIDIA Isaac Sim hero video (conditional)</w:t>
      </w:r>
    </w:p>
    <w:p>
      <w:pPr>
        <w:spacing w:after="120"/>
      </w:pPr>
      <w:r>
        <w:rPr>
          <w:rFonts w:ascii="Calibri" w:hAnsi="Calibri"/>
          <w:i w:val="0"/>
          <w:sz w:val="22"/>
        </w:rPr>
        <w:t>IF dedicated RTX hardware (RTX 4080 or better, 16 GB+ VRAM, Windows 10/11 or Ubuntu 22/24, driver 580+) becomes available, we add a single 60-90 second Isaac Sim hero video showing the optimized robot navigating a peak-commute crowd under high heat. The robot is represented in URDF with primitive shapes derived from Rhino (NOT photoreal CAD); sensor simulation is skipped (no ground truth); only kinematic motion is validated. This is purely a visual deliverable for the final stakeholder demo -- it adds no new research evidence beyond what Phases 5 and 6.2 already provide. Possible hosts: GT IDEaS / PACE allocations, NVIDIA Inception grant, a personal RTX desktop. The proposal does not commit to this deliverable; it is documented here so that if hardware appears, the path is clear.</w:t>
      </w:r>
    </w:p>
    <w:p>
      <w:pPr>
        <w:spacing w:before="240" w:after="80"/>
      </w:pPr>
      <w:r>
        <w:rPr>
          <w:rFonts w:ascii="Calibri" w:hAnsi="Calibri"/>
          <w:b/>
          <w:color w:val="101010"/>
          <w:sz w:val="24"/>
        </w:rPr>
        <w:t>Decisions requested at proposal review</w:t>
      </w:r>
    </w:p>
    <w:p>
      <w:pPr>
        <w:pStyle w:val="ListBullet"/>
      </w:pPr>
      <w:r>
        <w:rPr>
          <w:rFonts w:ascii="Calibri" w:hAnsi="Calibri"/>
          <w:sz w:val="22"/>
        </w:rPr>
        <w:t>Approve the six-phase scope and methodology.</w:t>
      </w:r>
    </w:p>
    <w:p>
      <w:pPr>
        <w:pStyle w:val="ListBullet"/>
      </w:pPr>
      <w:r>
        <w:rPr>
          <w:rFonts w:ascii="Calibri" w:hAnsi="Calibri"/>
          <w:sz w:val="22"/>
        </w:rPr>
        <w:t>Approve team allocation per the RACI table.</w:t>
      </w:r>
    </w:p>
    <w:p>
      <w:pPr>
        <w:pStyle w:val="ListBullet"/>
      </w:pPr>
      <w:r>
        <w:rPr>
          <w:rFonts w:ascii="Calibri" w:hAnsi="Calibri"/>
          <w:sz w:val="22"/>
        </w:rPr>
        <w:t>Approve VLAB server dev access and the listed asks.</w:t>
      </w:r>
    </w:p>
    <w:p>
      <w:pPr>
        <w:pStyle w:val="ListBullet"/>
      </w:pPr>
      <w:r>
        <w:rPr>
          <w:rFonts w:ascii="Calibri" w:hAnsi="Calibri"/>
          <w:sz w:val="22"/>
        </w:rPr>
        <w:t>Approve the async-first git workflow on github.com/SamDuo/nihonbashi-robot-sim.</w:t>
      </w:r>
    </w:p>
    <w:p>
      <w:pPr>
        <w:spacing w:after="120"/>
      </w:pPr>
      <w:r>
        <w:rPr>
          <w:rFonts w:ascii="Calibri" w:hAnsi="Calibri"/>
          <w:i/>
          <w:sz w:val="20"/>
        </w:rPr>
        <w:t>End of draft v0.4. Comments and revisions welcome via PR against outputs/reports/proposal_draft.md.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