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7AAA0D" w14:textId="77777777" w:rsidR="000D5B9F" w:rsidRDefault="000D5B9F">
      <w:pPr>
        <w:shd w:val="clear" w:color="auto" w:fill="FFFDFD"/>
        <w:spacing w:before="100" w:beforeAutospacing="1" w:after="100" w:afterAutospacing="1" w:line="240" w:lineRule="auto"/>
        <w:jc w:val="center"/>
        <w:outlineLvl w:val="0"/>
        <w:rPr>
          <w:rFonts w:ascii="Arial" w:hAnsi="Arial" w:cs="Arial"/>
          <w:color w:val="0070C0"/>
          <w:sz w:val="32"/>
          <w:szCs w:val="32"/>
        </w:rPr>
      </w:pPr>
      <w:r>
        <w:rPr>
          <w:noProof/>
        </w:rPr>
        <w:drawing>
          <wp:anchor distT="0" distB="0" distL="114300" distR="114300" simplePos="0" relativeHeight="251659264" behindDoc="0" locked="0" layoutInCell="1" allowOverlap="1" wp14:anchorId="0E00320B" wp14:editId="388C76A9">
            <wp:simplePos x="0" y="0"/>
            <wp:positionH relativeFrom="margin">
              <wp:align>left</wp:align>
            </wp:positionH>
            <wp:positionV relativeFrom="paragraph">
              <wp:posOffset>95250</wp:posOffset>
            </wp:positionV>
            <wp:extent cx="1038225" cy="1162685"/>
            <wp:effectExtent l="0" t="0" r="9525" b="0"/>
            <wp:wrapSquare wrapText="bothSides"/>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038225" cy="116268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0" locked="0" layoutInCell="1" allowOverlap="1" wp14:anchorId="7FB100BD" wp14:editId="44766093">
            <wp:simplePos x="0" y="0"/>
            <wp:positionH relativeFrom="column">
              <wp:align>right</wp:align>
            </wp:positionH>
            <wp:positionV relativeFrom="paragraph">
              <wp:posOffset>114300</wp:posOffset>
            </wp:positionV>
            <wp:extent cx="1153795" cy="1162685"/>
            <wp:effectExtent l="0" t="0" r="8255"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53795" cy="116268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b/>
          <w:bCs/>
          <w:color w:val="0E78A1"/>
          <w:kern w:val="36"/>
          <w:sz w:val="48"/>
          <w:szCs w:val="48"/>
          <w:lang w:eastAsia="es-MX"/>
          <w14:ligatures w14:val="none"/>
        </w:rPr>
        <w:t>Mapa Interactivo en Materia de Riesgo Ambiental</w:t>
      </w:r>
    </w:p>
    <w:p w14:paraId="14037755" w14:textId="5D4F856C" w:rsidR="000D5B9F" w:rsidRDefault="000D5B9F">
      <w:pPr>
        <w:spacing w:after="0"/>
        <w:jc w:val="center"/>
        <w:rPr>
          <w:rFonts w:ascii="Arial" w:hAnsi="Arial" w:cs="Arial"/>
          <w:color w:val="0070C0"/>
        </w:rPr>
      </w:pPr>
    </w:p>
    <w:p w14:paraId="6405B000" w14:textId="77777777" w:rsidR="000D5B9F" w:rsidRDefault="000D5B9F">
      <w:pPr>
        <w:spacing w:after="0"/>
        <w:jc w:val="center"/>
        <w:rPr>
          <w:b/>
          <w:bCs/>
          <w:sz w:val="28"/>
          <w:szCs w:val="28"/>
        </w:rPr>
      </w:pPr>
      <w:r>
        <w:rPr>
          <w:b/>
          <w:bCs/>
          <w:sz w:val="36"/>
          <w:szCs w:val="36"/>
        </w:rPr>
        <w:t>Análisis De Las Guías Federales Para Elaboración Estudio De Riesgo En México</w:t>
      </w:r>
      <w:r>
        <w:rPr>
          <w:b/>
          <w:bCs/>
          <w:sz w:val="28"/>
          <w:szCs w:val="28"/>
        </w:rPr>
        <w:t>.</w:t>
      </w:r>
    </w:p>
    <w:p w14:paraId="493DCBB6" w14:textId="77777777" w:rsidR="000D5B9F" w:rsidRDefault="000D5B9F">
      <w:pPr>
        <w:spacing w:after="0"/>
        <w:jc w:val="center"/>
        <w:rPr>
          <w:sz w:val="28"/>
          <w:szCs w:val="28"/>
        </w:rPr>
      </w:pPr>
      <w:r>
        <w:rPr>
          <w:b/>
          <w:bCs/>
          <w:sz w:val="28"/>
          <w:szCs w:val="28"/>
        </w:rPr>
        <w:t>Identificación de Diferencias y Similitudes</w:t>
      </w:r>
      <w:r>
        <w:rPr>
          <w:sz w:val="28"/>
          <w:szCs w:val="28"/>
        </w:rPr>
        <w:t>.</w:t>
      </w:r>
    </w:p>
    <w:p w14:paraId="62BCEB8B" w14:textId="77777777" w:rsidR="000D5B9F" w:rsidRDefault="000D5B9F">
      <w:pPr>
        <w:spacing w:after="0"/>
        <w:jc w:val="center"/>
      </w:pPr>
    </w:p>
    <w:p w14:paraId="04A518F4" w14:textId="77777777" w:rsidR="000D5B9F" w:rsidRDefault="000D5B9F">
      <w:pPr>
        <w:spacing w:after="0"/>
        <w:ind w:firstLine="1843"/>
        <w:jc w:val="center"/>
      </w:pPr>
    </w:p>
    <w:p w14:paraId="4CBAF9DE" w14:textId="77777777" w:rsidR="000D5B9F" w:rsidRDefault="000D5B9F">
      <w:pPr>
        <w:ind w:left="851" w:right="892"/>
        <w:jc w:val="both"/>
        <w:rPr>
          <w:sz w:val="28"/>
          <w:szCs w:val="28"/>
        </w:rPr>
      </w:pPr>
      <w:r>
        <w:rPr>
          <w:sz w:val="28"/>
          <w:szCs w:val="28"/>
        </w:rPr>
        <w:t>Las guías para elaborar un estudio de riesgo ambiental en México de la ASEA (Agencia de Seguridad, Energía y Ambiente), la DGIRA (Dirección General de Impacto y Riesgo Ambiental) y la DGGIMAR (Dirección General de Gestión Integral de Materiales y Actividades Riesgosas) son documentos que proporcionan orientación y lineamientos para realizar evaluaciones de riesgo ambiental en proyectos específicos.</w:t>
      </w:r>
    </w:p>
    <w:p w14:paraId="3C10A073" w14:textId="77777777" w:rsidR="000D5B9F" w:rsidRDefault="000D5B9F">
      <w:pPr>
        <w:ind w:left="851" w:right="892"/>
        <w:jc w:val="both"/>
        <w:rPr>
          <w:sz w:val="28"/>
          <w:szCs w:val="28"/>
        </w:rPr>
      </w:pPr>
      <w:r>
        <w:rPr>
          <w:sz w:val="28"/>
          <w:szCs w:val="28"/>
        </w:rPr>
        <w:t>A continuación de presentan algunas comparaciones entre estas guías.</w:t>
      </w:r>
    </w:p>
    <w:p w14:paraId="64E83DB5" w14:textId="77777777" w:rsidR="000D5B9F" w:rsidRDefault="000D5B9F">
      <w:pPr>
        <w:ind w:left="851" w:right="892"/>
        <w:jc w:val="both"/>
        <w:rPr>
          <w:rFonts w:ascii="Arial" w:hAnsi="Arial" w:cs="Arial"/>
          <w:i/>
          <w:iCs/>
          <w:sz w:val="28"/>
          <w:szCs w:val="28"/>
          <w:u w:val="single"/>
        </w:rPr>
      </w:pPr>
      <w:r>
        <w:rPr>
          <w:rFonts w:ascii="Arial" w:hAnsi="Arial" w:cs="Arial"/>
          <w:i/>
          <w:iCs/>
          <w:sz w:val="28"/>
          <w:szCs w:val="28"/>
          <w:u w:val="single"/>
        </w:rPr>
        <w:t>ALCANCE</w:t>
      </w:r>
    </w:p>
    <w:p w14:paraId="3C94321B" w14:textId="77777777" w:rsidR="000D5B9F" w:rsidRDefault="000D5B9F">
      <w:pPr>
        <w:ind w:left="851" w:right="892"/>
        <w:jc w:val="both"/>
        <w:rPr>
          <w:sz w:val="28"/>
          <w:szCs w:val="28"/>
        </w:rPr>
      </w:pPr>
      <w:r>
        <w:rPr>
          <w:sz w:val="28"/>
          <w:szCs w:val="28"/>
        </w:rPr>
        <w:t xml:space="preserve">La guía de la ASEA aplica principalmente en los proyectos o actividades relacionados con el sector de </w:t>
      </w:r>
      <w:r>
        <w:rPr>
          <w:b/>
          <w:bCs/>
          <w:sz w:val="28"/>
          <w:szCs w:val="28"/>
        </w:rPr>
        <w:t>hidrocarburos</w:t>
      </w:r>
      <w:r>
        <w:rPr>
          <w:sz w:val="28"/>
          <w:szCs w:val="28"/>
        </w:rPr>
        <w:t>.</w:t>
      </w:r>
    </w:p>
    <w:p w14:paraId="1C52F81F" w14:textId="77777777" w:rsidR="000D5B9F" w:rsidRDefault="000D5B9F">
      <w:pPr>
        <w:ind w:left="851" w:right="892"/>
        <w:jc w:val="both"/>
        <w:rPr>
          <w:sz w:val="28"/>
          <w:szCs w:val="28"/>
        </w:rPr>
      </w:pPr>
      <w:r>
        <w:rPr>
          <w:sz w:val="28"/>
          <w:szCs w:val="28"/>
        </w:rPr>
        <w:t xml:space="preserve">La guía de la DGIRA, por otro lado, se enfoca en los </w:t>
      </w:r>
      <w:r>
        <w:rPr>
          <w:b/>
          <w:bCs/>
          <w:sz w:val="28"/>
          <w:szCs w:val="28"/>
        </w:rPr>
        <w:t>proyectos nuevos</w:t>
      </w:r>
      <w:r>
        <w:rPr>
          <w:sz w:val="28"/>
          <w:szCs w:val="28"/>
        </w:rPr>
        <w:t xml:space="preserve"> que requieren una autorización en materia de impacto y riesgo ambiental, independientemente del sector al que pertenezcan.</w:t>
      </w:r>
    </w:p>
    <w:p w14:paraId="36058D96" w14:textId="77777777" w:rsidR="000D5B9F" w:rsidRDefault="000D5B9F">
      <w:pPr>
        <w:ind w:left="851" w:right="892"/>
        <w:jc w:val="both"/>
        <w:rPr>
          <w:sz w:val="28"/>
          <w:szCs w:val="28"/>
        </w:rPr>
      </w:pPr>
      <w:r>
        <w:rPr>
          <w:sz w:val="28"/>
          <w:szCs w:val="28"/>
        </w:rPr>
        <w:t xml:space="preserve">La guía de la DGGIMAR se orienta a los establecimientos que se encuentren en </w:t>
      </w:r>
      <w:r>
        <w:rPr>
          <w:b/>
          <w:bCs/>
          <w:sz w:val="28"/>
          <w:szCs w:val="28"/>
        </w:rPr>
        <w:t xml:space="preserve">operación </w:t>
      </w:r>
      <w:r>
        <w:rPr>
          <w:sz w:val="28"/>
          <w:szCs w:val="28"/>
        </w:rPr>
        <w:t>y al manejo y transporte de materiales y residuos peligrosos, así como en la gestión de sitios contaminados.</w:t>
      </w:r>
    </w:p>
    <w:p w14:paraId="0E15828B" w14:textId="77777777" w:rsidR="000D5B9F" w:rsidRDefault="000D5B9F">
      <w:pPr>
        <w:ind w:left="851" w:right="892"/>
        <w:jc w:val="both"/>
        <w:rPr>
          <w:sz w:val="28"/>
          <w:szCs w:val="28"/>
        </w:rPr>
      </w:pPr>
    </w:p>
    <w:p w14:paraId="6A3DDA2C" w14:textId="77777777" w:rsidR="000D5B9F" w:rsidRDefault="000D5B9F">
      <w:pPr>
        <w:ind w:left="851" w:right="892"/>
        <w:jc w:val="both"/>
        <w:rPr>
          <w:rFonts w:ascii="Arial" w:hAnsi="Arial" w:cs="Arial"/>
          <w:i/>
          <w:iCs/>
          <w:sz w:val="28"/>
          <w:szCs w:val="28"/>
          <w:u w:val="single"/>
        </w:rPr>
      </w:pPr>
      <w:r>
        <w:rPr>
          <w:rFonts w:ascii="Arial" w:hAnsi="Arial" w:cs="Arial"/>
          <w:i/>
          <w:iCs/>
          <w:sz w:val="28"/>
          <w:szCs w:val="28"/>
          <w:u w:val="single"/>
        </w:rPr>
        <w:t>PAGO DE DERECHOS</w:t>
      </w:r>
    </w:p>
    <w:p w14:paraId="61E7B55B" w14:textId="77777777" w:rsidR="000D5B9F" w:rsidRDefault="000D5B9F">
      <w:pPr>
        <w:ind w:left="851" w:right="892"/>
        <w:jc w:val="both"/>
        <w:rPr>
          <w:sz w:val="28"/>
          <w:szCs w:val="28"/>
        </w:rPr>
      </w:pPr>
      <w:r>
        <w:rPr>
          <w:sz w:val="28"/>
          <w:szCs w:val="28"/>
        </w:rPr>
        <w:t>Los estudios de riesgo ambiental en México realizados bajo la guía de la DGIRA, ASEA y DGGIMAR pueden requerir el pago de derechos correspondientes. A continuación, se presenta una comparación general de los pagos de derechos para cada guía.</w:t>
      </w:r>
    </w:p>
    <w:p w14:paraId="11254911" w14:textId="77777777" w:rsidR="000D5B9F" w:rsidRDefault="000D5B9F">
      <w:pPr>
        <w:ind w:left="851" w:right="892"/>
        <w:jc w:val="center"/>
        <w:rPr>
          <w:sz w:val="28"/>
          <w:szCs w:val="28"/>
        </w:rPr>
      </w:pPr>
      <w:r>
        <w:rPr>
          <w:sz w:val="28"/>
          <w:szCs w:val="28"/>
        </w:rPr>
        <w:t>Tabla 1. Costos de ERA en México.</w:t>
      </w:r>
    </w:p>
    <w:tbl>
      <w:tblPr>
        <w:tblStyle w:val="Tablaconcuadrcula"/>
        <w:tblW w:w="0" w:type="auto"/>
        <w:jc w:val="center"/>
        <w:tblInd w:w="0" w:type="dxa"/>
        <w:tblLook w:val="04A0" w:firstRow="1" w:lastRow="0" w:firstColumn="1" w:lastColumn="0" w:noHBand="0" w:noVBand="1"/>
      </w:tblPr>
      <w:tblGrid>
        <w:gridCol w:w="2093"/>
        <w:gridCol w:w="2175"/>
        <w:gridCol w:w="2174"/>
        <w:gridCol w:w="2174"/>
        <w:gridCol w:w="2174"/>
      </w:tblGrid>
      <w:tr w:rsidR="009B1C1A" w14:paraId="2E52CAB9" w14:textId="77777777" w:rsidTr="00434E32">
        <w:trPr>
          <w:trHeight w:val="354"/>
          <w:jc w:val="center"/>
        </w:trPr>
        <w:tc>
          <w:tcPr>
            <w:tcW w:w="3300" w:type="dxa"/>
            <w:tcBorders>
              <w:top w:val="single" w:sz="4" w:space="0" w:color="auto"/>
              <w:left w:val="single" w:sz="4" w:space="0" w:color="auto"/>
              <w:bottom w:val="single" w:sz="4" w:space="0" w:color="auto"/>
              <w:right w:val="single" w:sz="4" w:space="0" w:color="auto"/>
            </w:tcBorders>
          </w:tcPr>
          <w:p w14:paraId="5E70BEF5" w14:textId="77777777" w:rsidR="000D5B9F" w:rsidRDefault="000D5B9F">
            <w:pPr>
              <w:spacing w:after="0" w:line="240" w:lineRule="auto"/>
              <w:ind w:left="851" w:right="892"/>
              <w:jc w:val="both"/>
              <w:rPr>
                <w:sz w:val="28"/>
                <w:szCs w:val="28"/>
              </w:rPr>
            </w:pPr>
          </w:p>
        </w:tc>
        <w:tc>
          <w:tcPr>
            <w:tcW w:w="3432" w:type="dxa"/>
            <w:tcBorders>
              <w:top w:val="single" w:sz="4" w:space="0" w:color="auto"/>
              <w:left w:val="single" w:sz="4" w:space="0" w:color="auto"/>
              <w:bottom w:val="single" w:sz="4" w:space="0" w:color="auto"/>
              <w:right w:val="single" w:sz="4" w:space="0" w:color="auto"/>
            </w:tcBorders>
            <w:hideMark/>
          </w:tcPr>
          <w:p w14:paraId="265A962C" w14:textId="77777777" w:rsidR="000D5B9F" w:rsidRDefault="000D5B9F">
            <w:pPr>
              <w:spacing w:after="0" w:line="240" w:lineRule="auto"/>
              <w:ind w:left="851" w:right="892"/>
              <w:jc w:val="both"/>
              <w:rPr>
                <w:b/>
                <w:bCs/>
                <w:sz w:val="28"/>
                <w:szCs w:val="28"/>
              </w:rPr>
            </w:pPr>
            <w:r>
              <w:rPr>
                <w:b/>
                <w:bCs/>
                <w:sz w:val="28"/>
                <w:szCs w:val="28"/>
              </w:rPr>
              <w:t>Nivel 0</w:t>
            </w:r>
          </w:p>
        </w:tc>
        <w:tc>
          <w:tcPr>
            <w:tcW w:w="3432" w:type="dxa"/>
            <w:tcBorders>
              <w:top w:val="single" w:sz="4" w:space="0" w:color="auto"/>
              <w:left w:val="single" w:sz="4" w:space="0" w:color="auto"/>
              <w:bottom w:val="single" w:sz="4" w:space="0" w:color="auto"/>
              <w:right w:val="single" w:sz="4" w:space="0" w:color="auto"/>
            </w:tcBorders>
            <w:hideMark/>
          </w:tcPr>
          <w:p w14:paraId="7C3FCF4D" w14:textId="77777777" w:rsidR="000D5B9F" w:rsidRDefault="000D5B9F">
            <w:pPr>
              <w:spacing w:after="0" w:line="240" w:lineRule="auto"/>
              <w:ind w:left="851" w:right="892"/>
              <w:jc w:val="both"/>
              <w:rPr>
                <w:b/>
                <w:bCs/>
                <w:sz w:val="28"/>
                <w:szCs w:val="28"/>
              </w:rPr>
            </w:pPr>
            <w:r>
              <w:rPr>
                <w:b/>
                <w:bCs/>
                <w:sz w:val="28"/>
                <w:szCs w:val="28"/>
              </w:rPr>
              <w:t>Nivel 1</w:t>
            </w:r>
          </w:p>
        </w:tc>
        <w:tc>
          <w:tcPr>
            <w:tcW w:w="3432" w:type="dxa"/>
            <w:tcBorders>
              <w:top w:val="single" w:sz="4" w:space="0" w:color="auto"/>
              <w:left w:val="single" w:sz="4" w:space="0" w:color="auto"/>
              <w:bottom w:val="single" w:sz="4" w:space="0" w:color="auto"/>
              <w:right w:val="single" w:sz="4" w:space="0" w:color="auto"/>
            </w:tcBorders>
            <w:hideMark/>
          </w:tcPr>
          <w:p w14:paraId="3700BB74" w14:textId="77777777" w:rsidR="000D5B9F" w:rsidRDefault="000D5B9F">
            <w:pPr>
              <w:spacing w:after="0" w:line="240" w:lineRule="auto"/>
              <w:ind w:left="851" w:right="892"/>
              <w:jc w:val="both"/>
              <w:rPr>
                <w:b/>
                <w:bCs/>
                <w:sz w:val="28"/>
                <w:szCs w:val="28"/>
              </w:rPr>
            </w:pPr>
            <w:r>
              <w:rPr>
                <w:b/>
                <w:bCs/>
                <w:sz w:val="28"/>
                <w:szCs w:val="28"/>
              </w:rPr>
              <w:t>Nivel 2</w:t>
            </w:r>
          </w:p>
        </w:tc>
        <w:tc>
          <w:tcPr>
            <w:tcW w:w="3432" w:type="dxa"/>
            <w:tcBorders>
              <w:top w:val="single" w:sz="4" w:space="0" w:color="auto"/>
              <w:left w:val="single" w:sz="4" w:space="0" w:color="auto"/>
              <w:bottom w:val="single" w:sz="4" w:space="0" w:color="auto"/>
              <w:right w:val="single" w:sz="4" w:space="0" w:color="auto"/>
            </w:tcBorders>
            <w:hideMark/>
          </w:tcPr>
          <w:p w14:paraId="32241BFF" w14:textId="77777777" w:rsidR="000D5B9F" w:rsidRDefault="000D5B9F">
            <w:pPr>
              <w:spacing w:after="0" w:line="240" w:lineRule="auto"/>
              <w:ind w:left="851" w:right="892"/>
              <w:jc w:val="both"/>
              <w:rPr>
                <w:b/>
                <w:bCs/>
                <w:sz w:val="28"/>
                <w:szCs w:val="28"/>
              </w:rPr>
            </w:pPr>
            <w:r>
              <w:rPr>
                <w:b/>
                <w:bCs/>
                <w:sz w:val="28"/>
                <w:szCs w:val="28"/>
              </w:rPr>
              <w:t>Nivel 3.</w:t>
            </w:r>
          </w:p>
        </w:tc>
      </w:tr>
      <w:tr w:rsidR="00434E32" w14:paraId="02A2732E" w14:textId="77777777" w:rsidTr="00434E32">
        <w:trPr>
          <w:trHeight w:val="724"/>
          <w:jc w:val="center"/>
        </w:trPr>
        <w:tc>
          <w:tcPr>
            <w:tcW w:w="3300" w:type="dxa"/>
            <w:vMerge w:val="restart"/>
            <w:tcBorders>
              <w:top w:val="single" w:sz="4" w:space="0" w:color="auto"/>
              <w:left w:val="single" w:sz="4" w:space="0" w:color="auto"/>
              <w:right w:val="single" w:sz="4" w:space="0" w:color="auto"/>
            </w:tcBorders>
            <w:vAlign w:val="center"/>
            <w:hideMark/>
          </w:tcPr>
          <w:p w14:paraId="3937E0D1" w14:textId="77777777" w:rsidR="00434E32" w:rsidRDefault="00434E32" w:rsidP="00434E32">
            <w:pPr>
              <w:spacing w:after="0" w:line="240" w:lineRule="auto"/>
              <w:ind w:left="851" w:right="892"/>
              <w:jc w:val="center"/>
              <w:rPr>
                <w:sz w:val="28"/>
                <w:szCs w:val="28"/>
              </w:rPr>
            </w:pPr>
            <w:r>
              <w:rPr>
                <w:b/>
                <w:bCs/>
                <w:sz w:val="28"/>
                <w:szCs w:val="28"/>
              </w:rPr>
              <w:t>ASEA</w:t>
            </w:r>
          </w:p>
        </w:tc>
        <w:tc>
          <w:tcPr>
            <w:tcW w:w="3432" w:type="dxa"/>
            <w:tcBorders>
              <w:top w:val="single" w:sz="4" w:space="0" w:color="auto"/>
              <w:left w:val="single" w:sz="4" w:space="0" w:color="auto"/>
              <w:bottom w:val="single" w:sz="4" w:space="0" w:color="auto"/>
              <w:right w:val="single" w:sz="4" w:space="0" w:color="auto"/>
            </w:tcBorders>
            <w:hideMark/>
          </w:tcPr>
          <w:p w14:paraId="2FB881F3" w14:textId="77777777" w:rsidR="00434E32" w:rsidRDefault="00434E32">
            <w:pPr>
              <w:spacing w:after="0" w:line="240" w:lineRule="auto"/>
              <w:ind w:left="851" w:right="892"/>
              <w:jc w:val="both"/>
              <w:rPr>
                <w:sz w:val="28"/>
                <w:szCs w:val="28"/>
              </w:rPr>
            </w:pPr>
            <w:r>
              <w:rPr>
                <w:sz w:val="28"/>
                <w:szCs w:val="28"/>
              </w:rPr>
              <w:t xml:space="preserve">ERA </w:t>
            </w:r>
          </w:p>
          <w:p w14:paraId="545E20D1" w14:textId="77777777" w:rsidR="00434E32" w:rsidRDefault="00434E32">
            <w:pPr>
              <w:spacing w:after="0" w:line="240" w:lineRule="auto"/>
              <w:ind w:left="851" w:right="892"/>
              <w:jc w:val="both"/>
              <w:rPr>
                <w:sz w:val="28"/>
                <w:szCs w:val="28"/>
              </w:rPr>
            </w:pPr>
            <w:r>
              <w:rPr>
                <w:sz w:val="28"/>
                <w:szCs w:val="28"/>
              </w:rPr>
              <w:t>$1,562 </w:t>
            </w:r>
          </w:p>
        </w:tc>
        <w:tc>
          <w:tcPr>
            <w:tcW w:w="3432" w:type="dxa"/>
            <w:tcBorders>
              <w:top w:val="single" w:sz="4" w:space="0" w:color="auto"/>
              <w:left w:val="single" w:sz="4" w:space="0" w:color="auto"/>
              <w:bottom w:val="single" w:sz="4" w:space="0" w:color="auto"/>
              <w:right w:val="single" w:sz="4" w:space="0" w:color="auto"/>
            </w:tcBorders>
            <w:hideMark/>
          </w:tcPr>
          <w:p w14:paraId="3A1DCE17" w14:textId="77777777" w:rsidR="00434E32" w:rsidRDefault="00434E32">
            <w:pPr>
              <w:spacing w:after="0" w:line="240" w:lineRule="auto"/>
              <w:ind w:left="851" w:right="892"/>
              <w:jc w:val="both"/>
              <w:rPr>
                <w:sz w:val="28"/>
                <w:szCs w:val="28"/>
              </w:rPr>
            </w:pPr>
            <w:r>
              <w:rPr>
                <w:sz w:val="28"/>
                <w:szCs w:val="28"/>
              </w:rPr>
              <w:t xml:space="preserve">ERA </w:t>
            </w:r>
          </w:p>
          <w:p w14:paraId="24780BDE" w14:textId="77777777" w:rsidR="00434E32" w:rsidRDefault="00434E32">
            <w:pPr>
              <w:spacing w:after="0" w:line="240" w:lineRule="auto"/>
              <w:ind w:left="851" w:right="892"/>
              <w:jc w:val="both"/>
              <w:rPr>
                <w:sz w:val="28"/>
                <w:szCs w:val="28"/>
              </w:rPr>
            </w:pPr>
            <w:r>
              <w:rPr>
                <w:sz w:val="28"/>
                <w:szCs w:val="28"/>
              </w:rPr>
              <w:t>$2,389</w:t>
            </w:r>
          </w:p>
        </w:tc>
        <w:tc>
          <w:tcPr>
            <w:tcW w:w="3432" w:type="dxa"/>
            <w:tcBorders>
              <w:top w:val="single" w:sz="4" w:space="0" w:color="auto"/>
              <w:left w:val="single" w:sz="4" w:space="0" w:color="auto"/>
              <w:bottom w:val="single" w:sz="4" w:space="0" w:color="auto"/>
              <w:right w:val="single" w:sz="4" w:space="0" w:color="auto"/>
            </w:tcBorders>
            <w:hideMark/>
          </w:tcPr>
          <w:p w14:paraId="2C6C1060" w14:textId="77777777" w:rsidR="00434E32" w:rsidRDefault="00434E32">
            <w:pPr>
              <w:spacing w:after="0" w:line="240" w:lineRule="auto"/>
              <w:ind w:left="851" w:right="892"/>
              <w:jc w:val="both"/>
              <w:rPr>
                <w:sz w:val="28"/>
                <w:szCs w:val="28"/>
              </w:rPr>
            </w:pPr>
            <w:r>
              <w:rPr>
                <w:sz w:val="28"/>
                <w:szCs w:val="28"/>
              </w:rPr>
              <w:t xml:space="preserve">ERA </w:t>
            </w:r>
          </w:p>
          <w:p w14:paraId="48BD0CB7" w14:textId="77777777" w:rsidR="00434E32" w:rsidRDefault="00434E32">
            <w:pPr>
              <w:spacing w:after="0" w:line="240" w:lineRule="auto"/>
              <w:ind w:left="851" w:right="892"/>
              <w:jc w:val="both"/>
              <w:rPr>
                <w:sz w:val="28"/>
                <w:szCs w:val="28"/>
              </w:rPr>
            </w:pPr>
            <w:r>
              <w:rPr>
                <w:sz w:val="28"/>
                <w:szCs w:val="28"/>
              </w:rPr>
              <w:t>$3,537 </w:t>
            </w:r>
          </w:p>
        </w:tc>
        <w:tc>
          <w:tcPr>
            <w:tcW w:w="3432" w:type="dxa"/>
            <w:tcBorders>
              <w:top w:val="single" w:sz="4" w:space="0" w:color="auto"/>
              <w:left w:val="single" w:sz="4" w:space="0" w:color="auto"/>
              <w:bottom w:val="single" w:sz="4" w:space="0" w:color="auto"/>
              <w:right w:val="single" w:sz="4" w:space="0" w:color="auto"/>
            </w:tcBorders>
            <w:hideMark/>
          </w:tcPr>
          <w:p w14:paraId="179D9A28" w14:textId="77777777" w:rsidR="00434E32" w:rsidRDefault="00434E32">
            <w:pPr>
              <w:spacing w:after="0" w:line="240" w:lineRule="auto"/>
              <w:ind w:left="851" w:right="892"/>
              <w:jc w:val="both"/>
              <w:rPr>
                <w:sz w:val="28"/>
                <w:szCs w:val="28"/>
              </w:rPr>
            </w:pPr>
            <w:r>
              <w:rPr>
                <w:sz w:val="28"/>
                <w:szCs w:val="28"/>
              </w:rPr>
              <w:t xml:space="preserve">ERA </w:t>
            </w:r>
          </w:p>
          <w:p w14:paraId="142FA38F" w14:textId="77777777" w:rsidR="00434E32" w:rsidRDefault="00434E32">
            <w:pPr>
              <w:spacing w:after="0" w:line="240" w:lineRule="auto"/>
              <w:ind w:left="851" w:right="892"/>
              <w:jc w:val="both"/>
              <w:rPr>
                <w:sz w:val="28"/>
                <w:szCs w:val="28"/>
              </w:rPr>
            </w:pPr>
            <w:r>
              <w:rPr>
                <w:sz w:val="28"/>
                <w:szCs w:val="28"/>
              </w:rPr>
              <w:t>$4,854 </w:t>
            </w:r>
          </w:p>
        </w:tc>
      </w:tr>
      <w:tr w:rsidR="00434E32" w14:paraId="05D02F8E" w14:textId="77777777" w:rsidTr="00434E32">
        <w:trPr>
          <w:trHeight w:val="1803"/>
          <w:jc w:val="center"/>
        </w:trPr>
        <w:tc>
          <w:tcPr>
            <w:tcW w:w="3300" w:type="dxa"/>
            <w:vMerge/>
            <w:tcBorders>
              <w:left w:val="single" w:sz="4" w:space="0" w:color="auto"/>
              <w:bottom w:val="single" w:sz="4" w:space="0" w:color="auto"/>
              <w:right w:val="single" w:sz="4" w:space="0" w:color="auto"/>
            </w:tcBorders>
          </w:tcPr>
          <w:p w14:paraId="2D29511A" w14:textId="77777777" w:rsidR="00434E32" w:rsidRDefault="00434E32">
            <w:pPr>
              <w:spacing w:after="0" w:line="240" w:lineRule="auto"/>
              <w:ind w:left="851" w:right="892"/>
              <w:jc w:val="both"/>
              <w:rPr>
                <w:sz w:val="28"/>
                <w:szCs w:val="28"/>
              </w:rPr>
            </w:pPr>
          </w:p>
        </w:tc>
        <w:tc>
          <w:tcPr>
            <w:tcW w:w="3432" w:type="dxa"/>
            <w:tcBorders>
              <w:top w:val="single" w:sz="4" w:space="0" w:color="auto"/>
              <w:left w:val="single" w:sz="4" w:space="0" w:color="auto"/>
              <w:bottom w:val="single" w:sz="4" w:space="0" w:color="auto"/>
              <w:right w:val="single" w:sz="4" w:space="0" w:color="auto"/>
            </w:tcBorders>
          </w:tcPr>
          <w:p w14:paraId="25191E6D" w14:textId="77777777" w:rsidR="00434E32" w:rsidRDefault="00434E32">
            <w:pPr>
              <w:spacing w:after="0" w:line="240" w:lineRule="auto"/>
              <w:ind w:left="851" w:right="892"/>
              <w:jc w:val="both"/>
              <w:rPr>
                <w:sz w:val="28"/>
                <w:szCs w:val="28"/>
              </w:rPr>
            </w:pPr>
            <w:r>
              <w:rPr>
                <w:sz w:val="28"/>
                <w:szCs w:val="28"/>
              </w:rPr>
              <w:t>ERA Modificación o ampliación</w:t>
            </w:r>
          </w:p>
          <w:p w14:paraId="4FB10D1E" w14:textId="77777777" w:rsidR="00434E32" w:rsidRDefault="00434E32">
            <w:pPr>
              <w:spacing w:after="0" w:line="240" w:lineRule="auto"/>
              <w:ind w:left="851" w:right="892"/>
              <w:jc w:val="both"/>
              <w:rPr>
                <w:sz w:val="28"/>
                <w:szCs w:val="28"/>
              </w:rPr>
            </w:pPr>
          </w:p>
          <w:p w14:paraId="565129B7" w14:textId="77777777" w:rsidR="00434E32" w:rsidRDefault="00434E32">
            <w:pPr>
              <w:spacing w:after="0" w:line="240" w:lineRule="auto"/>
              <w:ind w:left="851" w:right="892"/>
              <w:jc w:val="both"/>
              <w:rPr>
                <w:sz w:val="28"/>
                <w:szCs w:val="28"/>
              </w:rPr>
            </w:pPr>
            <w:r>
              <w:rPr>
                <w:sz w:val="28"/>
                <w:szCs w:val="28"/>
              </w:rPr>
              <w:t>$781</w:t>
            </w:r>
          </w:p>
        </w:tc>
        <w:tc>
          <w:tcPr>
            <w:tcW w:w="3432" w:type="dxa"/>
            <w:tcBorders>
              <w:top w:val="single" w:sz="4" w:space="0" w:color="auto"/>
              <w:left w:val="single" w:sz="4" w:space="0" w:color="auto"/>
              <w:bottom w:val="single" w:sz="4" w:space="0" w:color="auto"/>
              <w:right w:val="single" w:sz="4" w:space="0" w:color="auto"/>
            </w:tcBorders>
          </w:tcPr>
          <w:p w14:paraId="02BA27F4" w14:textId="77777777" w:rsidR="00434E32" w:rsidRDefault="00434E32">
            <w:pPr>
              <w:spacing w:after="0" w:line="240" w:lineRule="auto"/>
              <w:ind w:left="851" w:right="892"/>
              <w:jc w:val="both"/>
              <w:rPr>
                <w:sz w:val="28"/>
                <w:szCs w:val="28"/>
              </w:rPr>
            </w:pPr>
            <w:r>
              <w:rPr>
                <w:sz w:val="28"/>
                <w:szCs w:val="28"/>
              </w:rPr>
              <w:t>ERA Modificación o ampliación</w:t>
            </w:r>
          </w:p>
          <w:p w14:paraId="3A9B6048" w14:textId="77777777" w:rsidR="00434E32" w:rsidRDefault="00434E32">
            <w:pPr>
              <w:spacing w:after="0" w:line="240" w:lineRule="auto"/>
              <w:ind w:left="851" w:right="892"/>
              <w:jc w:val="both"/>
              <w:rPr>
                <w:sz w:val="28"/>
                <w:szCs w:val="28"/>
              </w:rPr>
            </w:pPr>
          </w:p>
          <w:p w14:paraId="75C97D2D" w14:textId="77777777" w:rsidR="00434E32" w:rsidRDefault="00434E32">
            <w:pPr>
              <w:spacing w:after="0" w:line="240" w:lineRule="auto"/>
              <w:ind w:left="851" w:right="892"/>
              <w:jc w:val="both"/>
              <w:rPr>
                <w:sz w:val="28"/>
                <w:szCs w:val="28"/>
              </w:rPr>
            </w:pPr>
            <w:r>
              <w:rPr>
                <w:sz w:val="28"/>
                <w:szCs w:val="28"/>
              </w:rPr>
              <w:t>$1,194</w:t>
            </w:r>
          </w:p>
        </w:tc>
        <w:tc>
          <w:tcPr>
            <w:tcW w:w="3432" w:type="dxa"/>
            <w:tcBorders>
              <w:top w:val="single" w:sz="4" w:space="0" w:color="auto"/>
              <w:left w:val="single" w:sz="4" w:space="0" w:color="auto"/>
              <w:bottom w:val="single" w:sz="4" w:space="0" w:color="auto"/>
              <w:right w:val="single" w:sz="4" w:space="0" w:color="auto"/>
            </w:tcBorders>
          </w:tcPr>
          <w:p w14:paraId="4DD42214" w14:textId="77777777" w:rsidR="00434E32" w:rsidRDefault="00434E32">
            <w:pPr>
              <w:spacing w:after="0" w:line="240" w:lineRule="auto"/>
              <w:ind w:left="851" w:right="892"/>
              <w:jc w:val="both"/>
              <w:rPr>
                <w:sz w:val="28"/>
                <w:szCs w:val="28"/>
              </w:rPr>
            </w:pPr>
            <w:r>
              <w:rPr>
                <w:sz w:val="28"/>
                <w:szCs w:val="28"/>
              </w:rPr>
              <w:t>ERA Modificación o ampliación</w:t>
            </w:r>
          </w:p>
          <w:p w14:paraId="5E2C477C" w14:textId="77777777" w:rsidR="00434E32" w:rsidRDefault="00434E32">
            <w:pPr>
              <w:spacing w:after="0" w:line="240" w:lineRule="auto"/>
              <w:ind w:left="851" w:right="892"/>
              <w:jc w:val="both"/>
              <w:rPr>
                <w:sz w:val="28"/>
                <w:szCs w:val="28"/>
              </w:rPr>
            </w:pPr>
          </w:p>
          <w:p w14:paraId="63BF414D" w14:textId="77777777" w:rsidR="00434E32" w:rsidRDefault="00434E32">
            <w:pPr>
              <w:spacing w:after="0" w:line="240" w:lineRule="auto"/>
              <w:ind w:left="851" w:right="892"/>
              <w:jc w:val="both"/>
              <w:rPr>
                <w:sz w:val="28"/>
                <w:szCs w:val="28"/>
              </w:rPr>
            </w:pPr>
            <w:r>
              <w:rPr>
                <w:sz w:val="28"/>
                <w:szCs w:val="28"/>
              </w:rPr>
              <w:t>$1,768</w:t>
            </w:r>
          </w:p>
        </w:tc>
        <w:tc>
          <w:tcPr>
            <w:tcW w:w="3432" w:type="dxa"/>
            <w:tcBorders>
              <w:top w:val="single" w:sz="4" w:space="0" w:color="auto"/>
              <w:left w:val="single" w:sz="4" w:space="0" w:color="auto"/>
              <w:bottom w:val="single" w:sz="4" w:space="0" w:color="auto"/>
              <w:right w:val="single" w:sz="4" w:space="0" w:color="auto"/>
            </w:tcBorders>
          </w:tcPr>
          <w:p w14:paraId="3B391E56" w14:textId="77777777" w:rsidR="00434E32" w:rsidRDefault="00434E32">
            <w:pPr>
              <w:spacing w:after="0" w:line="240" w:lineRule="auto"/>
              <w:ind w:left="851" w:right="892"/>
              <w:jc w:val="both"/>
              <w:rPr>
                <w:sz w:val="28"/>
                <w:szCs w:val="28"/>
              </w:rPr>
            </w:pPr>
            <w:r>
              <w:rPr>
                <w:sz w:val="28"/>
                <w:szCs w:val="28"/>
              </w:rPr>
              <w:t>ERA Modificación o ampliación</w:t>
            </w:r>
          </w:p>
          <w:p w14:paraId="194D8A48" w14:textId="77777777" w:rsidR="00434E32" w:rsidRDefault="00434E32">
            <w:pPr>
              <w:spacing w:after="0" w:line="240" w:lineRule="auto"/>
              <w:ind w:left="851" w:right="892"/>
              <w:jc w:val="both"/>
              <w:rPr>
                <w:sz w:val="28"/>
                <w:szCs w:val="28"/>
              </w:rPr>
            </w:pPr>
          </w:p>
          <w:p w14:paraId="4EBEB91B" w14:textId="77777777" w:rsidR="00434E32" w:rsidRDefault="00434E32">
            <w:pPr>
              <w:spacing w:after="0" w:line="240" w:lineRule="auto"/>
              <w:ind w:left="851" w:right="892"/>
              <w:jc w:val="both"/>
              <w:rPr>
                <w:sz w:val="28"/>
                <w:szCs w:val="28"/>
              </w:rPr>
            </w:pPr>
            <w:r>
              <w:rPr>
                <w:sz w:val="28"/>
                <w:szCs w:val="28"/>
              </w:rPr>
              <w:t>$2,427</w:t>
            </w:r>
          </w:p>
        </w:tc>
      </w:tr>
      <w:tr w:rsidR="009B1C1A" w14:paraId="27C3FEDD" w14:textId="77777777" w:rsidTr="00434E32">
        <w:trPr>
          <w:trHeight w:val="1079"/>
          <w:jc w:val="center"/>
        </w:trPr>
        <w:tc>
          <w:tcPr>
            <w:tcW w:w="3300" w:type="dxa"/>
            <w:tcBorders>
              <w:top w:val="single" w:sz="4" w:space="0" w:color="auto"/>
              <w:left w:val="single" w:sz="4" w:space="0" w:color="auto"/>
              <w:bottom w:val="single" w:sz="4" w:space="0" w:color="auto"/>
              <w:right w:val="single" w:sz="4" w:space="0" w:color="auto"/>
            </w:tcBorders>
            <w:hideMark/>
          </w:tcPr>
          <w:p w14:paraId="1EBD1FE6" w14:textId="77777777" w:rsidR="000D5B9F" w:rsidRDefault="000D5B9F">
            <w:pPr>
              <w:spacing w:after="0" w:line="240" w:lineRule="auto"/>
              <w:ind w:left="851" w:right="892"/>
              <w:jc w:val="both"/>
              <w:rPr>
                <w:b/>
                <w:bCs/>
                <w:sz w:val="28"/>
                <w:szCs w:val="28"/>
              </w:rPr>
            </w:pPr>
            <w:r>
              <w:rPr>
                <w:b/>
                <w:bCs/>
                <w:sz w:val="28"/>
                <w:szCs w:val="28"/>
              </w:rPr>
              <w:t>DGIRA</w:t>
            </w:r>
          </w:p>
          <w:p w14:paraId="587D6EB4" w14:textId="77777777" w:rsidR="000D5B9F" w:rsidRDefault="000D5B9F">
            <w:pPr>
              <w:spacing w:after="0" w:line="240" w:lineRule="auto"/>
              <w:ind w:left="851" w:right="892"/>
              <w:jc w:val="both"/>
              <w:rPr>
                <w:sz w:val="28"/>
                <w:szCs w:val="28"/>
              </w:rPr>
            </w:pPr>
            <w:r>
              <w:rPr>
                <w:sz w:val="28"/>
                <w:szCs w:val="28"/>
              </w:rPr>
              <w:t>SEMARNAT 07-008</w:t>
            </w:r>
          </w:p>
        </w:tc>
        <w:tc>
          <w:tcPr>
            <w:tcW w:w="3432" w:type="dxa"/>
            <w:tcBorders>
              <w:top w:val="single" w:sz="4" w:space="0" w:color="auto"/>
              <w:left w:val="single" w:sz="4" w:space="0" w:color="auto"/>
              <w:bottom w:val="single" w:sz="4" w:space="0" w:color="auto"/>
              <w:right w:val="single" w:sz="4" w:space="0" w:color="auto"/>
            </w:tcBorders>
            <w:hideMark/>
          </w:tcPr>
          <w:p w14:paraId="5F0CD96A" w14:textId="77777777" w:rsidR="000D5B9F" w:rsidRDefault="000D5B9F">
            <w:pPr>
              <w:spacing w:after="0" w:line="240" w:lineRule="auto"/>
              <w:ind w:left="851" w:right="892"/>
              <w:jc w:val="both"/>
              <w:rPr>
                <w:sz w:val="28"/>
                <w:szCs w:val="28"/>
              </w:rPr>
            </w:pPr>
            <w:r>
              <w:rPr>
                <w:sz w:val="28"/>
                <w:szCs w:val="28"/>
              </w:rPr>
              <w:t>ERA</w:t>
            </w:r>
          </w:p>
          <w:p w14:paraId="0AFD922D" w14:textId="77777777" w:rsidR="000D5B9F" w:rsidRDefault="000D5B9F">
            <w:pPr>
              <w:spacing w:after="0" w:line="240" w:lineRule="auto"/>
              <w:ind w:left="851" w:right="892"/>
              <w:jc w:val="both"/>
              <w:rPr>
                <w:sz w:val="28"/>
                <w:szCs w:val="28"/>
              </w:rPr>
            </w:pPr>
            <w:r>
              <w:rPr>
                <w:sz w:val="28"/>
                <w:szCs w:val="28"/>
              </w:rPr>
              <w:t>$1,562</w:t>
            </w:r>
          </w:p>
        </w:tc>
        <w:tc>
          <w:tcPr>
            <w:tcW w:w="3432" w:type="dxa"/>
            <w:tcBorders>
              <w:top w:val="single" w:sz="4" w:space="0" w:color="auto"/>
              <w:left w:val="single" w:sz="4" w:space="0" w:color="auto"/>
              <w:bottom w:val="single" w:sz="4" w:space="0" w:color="auto"/>
              <w:right w:val="single" w:sz="4" w:space="0" w:color="auto"/>
            </w:tcBorders>
            <w:hideMark/>
          </w:tcPr>
          <w:p w14:paraId="3CDD7395" w14:textId="77777777" w:rsidR="000D5B9F" w:rsidRDefault="000D5B9F">
            <w:pPr>
              <w:spacing w:after="0" w:line="240" w:lineRule="auto"/>
              <w:ind w:left="851" w:right="892"/>
              <w:jc w:val="both"/>
              <w:rPr>
                <w:sz w:val="28"/>
                <w:szCs w:val="28"/>
              </w:rPr>
            </w:pPr>
            <w:r>
              <w:rPr>
                <w:sz w:val="28"/>
                <w:szCs w:val="28"/>
              </w:rPr>
              <w:t>ERA</w:t>
            </w:r>
          </w:p>
          <w:p w14:paraId="16A7ED8E" w14:textId="77777777" w:rsidR="000D5B9F" w:rsidRDefault="000D5B9F">
            <w:pPr>
              <w:spacing w:after="0" w:line="240" w:lineRule="auto"/>
              <w:ind w:left="851" w:right="892"/>
              <w:jc w:val="both"/>
              <w:rPr>
                <w:sz w:val="28"/>
                <w:szCs w:val="28"/>
              </w:rPr>
            </w:pPr>
            <w:r>
              <w:rPr>
                <w:sz w:val="28"/>
                <w:szCs w:val="28"/>
              </w:rPr>
              <w:t>$2,389</w:t>
            </w:r>
          </w:p>
        </w:tc>
        <w:tc>
          <w:tcPr>
            <w:tcW w:w="3432" w:type="dxa"/>
            <w:tcBorders>
              <w:top w:val="single" w:sz="4" w:space="0" w:color="auto"/>
              <w:left w:val="single" w:sz="4" w:space="0" w:color="auto"/>
              <w:bottom w:val="single" w:sz="4" w:space="0" w:color="auto"/>
              <w:right w:val="single" w:sz="4" w:space="0" w:color="auto"/>
            </w:tcBorders>
            <w:hideMark/>
          </w:tcPr>
          <w:p w14:paraId="43510C92" w14:textId="77777777" w:rsidR="000D5B9F" w:rsidRDefault="000D5B9F">
            <w:pPr>
              <w:spacing w:after="0" w:line="240" w:lineRule="auto"/>
              <w:ind w:left="851" w:right="892"/>
              <w:jc w:val="both"/>
              <w:rPr>
                <w:sz w:val="28"/>
                <w:szCs w:val="28"/>
              </w:rPr>
            </w:pPr>
            <w:r>
              <w:rPr>
                <w:sz w:val="28"/>
                <w:szCs w:val="28"/>
              </w:rPr>
              <w:t>ERA</w:t>
            </w:r>
          </w:p>
          <w:p w14:paraId="175C086B" w14:textId="77777777" w:rsidR="000D5B9F" w:rsidRDefault="000D5B9F">
            <w:pPr>
              <w:spacing w:after="0" w:line="240" w:lineRule="auto"/>
              <w:ind w:left="851" w:right="892"/>
              <w:jc w:val="both"/>
              <w:rPr>
                <w:sz w:val="28"/>
                <w:szCs w:val="28"/>
              </w:rPr>
            </w:pPr>
            <w:r>
              <w:rPr>
                <w:sz w:val="28"/>
                <w:szCs w:val="28"/>
              </w:rPr>
              <w:t>$3,537</w:t>
            </w:r>
          </w:p>
        </w:tc>
        <w:tc>
          <w:tcPr>
            <w:tcW w:w="3432" w:type="dxa"/>
            <w:tcBorders>
              <w:top w:val="single" w:sz="4" w:space="0" w:color="auto"/>
              <w:left w:val="single" w:sz="4" w:space="0" w:color="auto"/>
              <w:bottom w:val="single" w:sz="4" w:space="0" w:color="auto"/>
              <w:right w:val="single" w:sz="4" w:space="0" w:color="auto"/>
            </w:tcBorders>
            <w:hideMark/>
          </w:tcPr>
          <w:p w14:paraId="40BBC05F" w14:textId="77777777" w:rsidR="000D5B9F" w:rsidRDefault="000D5B9F">
            <w:pPr>
              <w:spacing w:after="0" w:line="240" w:lineRule="auto"/>
              <w:ind w:left="851" w:right="892"/>
              <w:jc w:val="both"/>
              <w:rPr>
                <w:sz w:val="28"/>
                <w:szCs w:val="28"/>
              </w:rPr>
            </w:pPr>
            <w:r>
              <w:rPr>
                <w:sz w:val="28"/>
                <w:szCs w:val="28"/>
              </w:rPr>
              <w:t>ERA</w:t>
            </w:r>
          </w:p>
          <w:p w14:paraId="7DCFCBA2" w14:textId="77777777" w:rsidR="000D5B9F" w:rsidRDefault="000D5B9F">
            <w:pPr>
              <w:spacing w:after="0" w:line="240" w:lineRule="auto"/>
              <w:ind w:left="851" w:right="892"/>
              <w:jc w:val="both"/>
              <w:rPr>
                <w:sz w:val="28"/>
                <w:szCs w:val="28"/>
              </w:rPr>
            </w:pPr>
            <w:r>
              <w:rPr>
                <w:sz w:val="28"/>
                <w:szCs w:val="28"/>
              </w:rPr>
              <w:t>$4,854</w:t>
            </w:r>
          </w:p>
        </w:tc>
      </w:tr>
      <w:tr w:rsidR="009B1C1A" w14:paraId="28BAB7ED" w14:textId="77777777" w:rsidTr="00434E32">
        <w:trPr>
          <w:trHeight w:val="1079"/>
          <w:jc w:val="center"/>
        </w:trPr>
        <w:tc>
          <w:tcPr>
            <w:tcW w:w="3300" w:type="dxa"/>
            <w:tcBorders>
              <w:top w:val="single" w:sz="4" w:space="0" w:color="auto"/>
              <w:left w:val="single" w:sz="4" w:space="0" w:color="auto"/>
              <w:bottom w:val="single" w:sz="4" w:space="0" w:color="auto"/>
              <w:right w:val="single" w:sz="4" w:space="0" w:color="auto"/>
            </w:tcBorders>
            <w:hideMark/>
          </w:tcPr>
          <w:p w14:paraId="25152540" w14:textId="77777777" w:rsidR="000D5B9F" w:rsidRDefault="000D5B9F">
            <w:pPr>
              <w:spacing w:after="0" w:line="240" w:lineRule="auto"/>
              <w:ind w:left="851" w:right="892"/>
              <w:jc w:val="both"/>
              <w:rPr>
                <w:sz w:val="28"/>
                <w:szCs w:val="28"/>
              </w:rPr>
            </w:pPr>
            <w:r>
              <w:rPr>
                <w:b/>
                <w:bCs/>
                <w:sz w:val="28"/>
                <w:szCs w:val="28"/>
              </w:rPr>
              <w:t>DGGIMAR</w:t>
            </w:r>
          </w:p>
          <w:p w14:paraId="3742CE3C" w14:textId="77777777" w:rsidR="000D5B9F" w:rsidRDefault="000D5B9F">
            <w:pPr>
              <w:spacing w:after="0" w:line="240" w:lineRule="auto"/>
              <w:ind w:left="851" w:right="892"/>
              <w:jc w:val="both"/>
              <w:rPr>
                <w:sz w:val="28"/>
                <w:szCs w:val="28"/>
              </w:rPr>
            </w:pPr>
            <w:r>
              <w:rPr>
                <w:sz w:val="28"/>
                <w:szCs w:val="28"/>
              </w:rPr>
              <w:t>SEMARNAT-07-008</w:t>
            </w:r>
          </w:p>
        </w:tc>
        <w:tc>
          <w:tcPr>
            <w:tcW w:w="3432" w:type="dxa"/>
            <w:tcBorders>
              <w:top w:val="single" w:sz="4" w:space="0" w:color="auto"/>
              <w:left w:val="single" w:sz="4" w:space="0" w:color="auto"/>
              <w:bottom w:val="single" w:sz="4" w:space="0" w:color="auto"/>
              <w:right w:val="single" w:sz="4" w:space="0" w:color="auto"/>
            </w:tcBorders>
            <w:hideMark/>
          </w:tcPr>
          <w:p w14:paraId="18EEA04D" w14:textId="77777777" w:rsidR="000D5B9F" w:rsidRDefault="000D5B9F">
            <w:pPr>
              <w:spacing w:after="0" w:line="240" w:lineRule="auto"/>
              <w:ind w:left="851" w:right="892"/>
              <w:jc w:val="both"/>
              <w:rPr>
                <w:sz w:val="28"/>
                <w:szCs w:val="28"/>
              </w:rPr>
            </w:pPr>
            <w:r>
              <w:rPr>
                <w:sz w:val="28"/>
                <w:szCs w:val="28"/>
              </w:rPr>
              <w:t>ERA</w:t>
            </w:r>
          </w:p>
          <w:p w14:paraId="15886EE9" w14:textId="77777777" w:rsidR="000D5B9F" w:rsidRDefault="000D5B9F">
            <w:pPr>
              <w:spacing w:after="0" w:line="240" w:lineRule="auto"/>
              <w:ind w:left="851" w:right="892"/>
              <w:jc w:val="both"/>
              <w:rPr>
                <w:sz w:val="28"/>
                <w:szCs w:val="28"/>
              </w:rPr>
            </w:pPr>
            <w:r>
              <w:rPr>
                <w:sz w:val="28"/>
                <w:szCs w:val="28"/>
              </w:rPr>
              <w:t>$1,562</w:t>
            </w:r>
          </w:p>
        </w:tc>
        <w:tc>
          <w:tcPr>
            <w:tcW w:w="3432" w:type="dxa"/>
            <w:tcBorders>
              <w:top w:val="single" w:sz="4" w:space="0" w:color="auto"/>
              <w:left w:val="single" w:sz="4" w:space="0" w:color="auto"/>
              <w:bottom w:val="single" w:sz="4" w:space="0" w:color="auto"/>
              <w:right w:val="single" w:sz="4" w:space="0" w:color="auto"/>
            </w:tcBorders>
            <w:hideMark/>
          </w:tcPr>
          <w:p w14:paraId="2E139851" w14:textId="77777777" w:rsidR="000D5B9F" w:rsidRDefault="000D5B9F">
            <w:pPr>
              <w:spacing w:after="0" w:line="240" w:lineRule="auto"/>
              <w:ind w:left="851" w:right="892"/>
              <w:jc w:val="both"/>
              <w:rPr>
                <w:sz w:val="28"/>
                <w:szCs w:val="28"/>
              </w:rPr>
            </w:pPr>
            <w:r>
              <w:rPr>
                <w:sz w:val="28"/>
                <w:szCs w:val="28"/>
              </w:rPr>
              <w:t>ERA</w:t>
            </w:r>
          </w:p>
          <w:p w14:paraId="40C733B1" w14:textId="77777777" w:rsidR="000D5B9F" w:rsidRDefault="000D5B9F">
            <w:pPr>
              <w:spacing w:after="0" w:line="240" w:lineRule="auto"/>
              <w:ind w:left="851" w:right="892"/>
              <w:jc w:val="both"/>
              <w:rPr>
                <w:sz w:val="28"/>
                <w:szCs w:val="28"/>
              </w:rPr>
            </w:pPr>
            <w:r>
              <w:rPr>
                <w:sz w:val="28"/>
                <w:szCs w:val="28"/>
              </w:rPr>
              <w:t>$2,389</w:t>
            </w:r>
          </w:p>
        </w:tc>
        <w:tc>
          <w:tcPr>
            <w:tcW w:w="3432" w:type="dxa"/>
            <w:tcBorders>
              <w:top w:val="single" w:sz="4" w:space="0" w:color="auto"/>
              <w:left w:val="single" w:sz="4" w:space="0" w:color="auto"/>
              <w:bottom w:val="single" w:sz="4" w:space="0" w:color="auto"/>
              <w:right w:val="single" w:sz="4" w:space="0" w:color="auto"/>
            </w:tcBorders>
            <w:hideMark/>
          </w:tcPr>
          <w:p w14:paraId="3516E618" w14:textId="77777777" w:rsidR="000D5B9F" w:rsidRDefault="000D5B9F">
            <w:pPr>
              <w:spacing w:after="0" w:line="240" w:lineRule="auto"/>
              <w:ind w:left="851" w:right="892"/>
              <w:jc w:val="both"/>
              <w:rPr>
                <w:sz w:val="28"/>
                <w:szCs w:val="28"/>
              </w:rPr>
            </w:pPr>
            <w:r>
              <w:rPr>
                <w:sz w:val="28"/>
                <w:szCs w:val="28"/>
              </w:rPr>
              <w:t>ERA</w:t>
            </w:r>
          </w:p>
          <w:p w14:paraId="4A85E38F" w14:textId="77777777" w:rsidR="000D5B9F" w:rsidRDefault="000D5B9F">
            <w:pPr>
              <w:spacing w:after="0" w:line="240" w:lineRule="auto"/>
              <w:ind w:left="851" w:right="892"/>
              <w:jc w:val="both"/>
              <w:rPr>
                <w:sz w:val="28"/>
                <w:szCs w:val="28"/>
              </w:rPr>
            </w:pPr>
            <w:r>
              <w:rPr>
                <w:sz w:val="28"/>
                <w:szCs w:val="28"/>
              </w:rPr>
              <w:t>$3,537</w:t>
            </w:r>
          </w:p>
        </w:tc>
        <w:tc>
          <w:tcPr>
            <w:tcW w:w="3432" w:type="dxa"/>
            <w:tcBorders>
              <w:top w:val="single" w:sz="4" w:space="0" w:color="auto"/>
              <w:left w:val="single" w:sz="4" w:space="0" w:color="auto"/>
              <w:bottom w:val="single" w:sz="4" w:space="0" w:color="auto"/>
              <w:right w:val="single" w:sz="4" w:space="0" w:color="auto"/>
            </w:tcBorders>
            <w:hideMark/>
          </w:tcPr>
          <w:p w14:paraId="0D77D1AC" w14:textId="77777777" w:rsidR="000D5B9F" w:rsidRDefault="000D5B9F">
            <w:pPr>
              <w:spacing w:after="0" w:line="240" w:lineRule="auto"/>
              <w:ind w:left="851" w:right="892"/>
              <w:jc w:val="both"/>
              <w:rPr>
                <w:sz w:val="28"/>
                <w:szCs w:val="28"/>
              </w:rPr>
            </w:pPr>
            <w:r>
              <w:rPr>
                <w:sz w:val="28"/>
                <w:szCs w:val="28"/>
              </w:rPr>
              <w:t>ERA</w:t>
            </w:r>
          </w:p>
          <w:p w14:paraId="48B37C77" w14:textId="77777777" w:rsidR="000D5B9F" w:rsidRDefault="000D5B9F">
            <w:pPr>
              <w:spacing w:after="0" w:line="240" w:lineRule="auto"/>
              <w:ind w:left="851" w:right="892"/>
              <w:jc w:val="both"/>
              <w:rPr>
                <w:sz w:val="28"/>
                <w:szCs w:val="28"/>
              </w:rPr>
            </w:pPr>
            <w:r>
              <w:rPr>
                <w:sz w:val="28"/>
                <w:szCs w:val="28"/>
              </w:rPr>
              <w:t>$4,854</w:t>
            </w:r>
          </w:p>
        </w:tc>
      </w:tr>
    </w:tbl>
    <w:p w14:paraId="1E2EB8A5" w14:textId="77777777" w:rsidR="000D5B9F" w:rsidRDefault="000D5B9F">
      <w:pPr>
        <w:ind w:left="851" w:right="892"/>
        <w:jc w:val="both"/>
        <w:rPr>
          <w:i/>
          <w:iCs/>
          <w:sz w:val="28"/>
          <w:szCs w:val="28"/>
          <w:u w:val="single"/>
        </w:rPr>
      </w:pPr>
    </w:p>
    <w:p w14:paraId="016E589A" w14:textId="77777777" w:rsidR="000D5B9F" w:rsidRDefault="000D5B9F">
      <w:pPr>
        <w:ind w:left="851" w:right="892"/>
        <w:jc w:val="both"/>
        <w:rPr>
          <w:sz w:val="28"/>
          <w:szCs w:val="28"/>
        </w:rPr>
      </w:pPr>
      <w:r>
        <w:rPr>
          <w:sz w:val="28"/>
          <w:szCs w:val="28"/>
        </w:rPr>
        <w:t>Al tratarse de trámites de competencia federal, se establece una homogeneidad en el pago de derechos. Aun cuando se trate de distintas dependencias, el costo de los derechos a pagar permanece igual.</w:t>
      </w:r>
    </w:p>
    <w:p w14:paraId="0149CA71" w14:textId="77777777" w:rsidR="000D5B9F" w:rsidRDefault="000D5B9F">
      <w:pPr>
        <w:ind w:left="851" w:right="892"/>
        <w:jc w:val="both"/>
        <w:rPr>
          <w:sz w:val="28"/>
          <w:szCs w:val="28"/>
        </w:rPr>
      </w:pPr>
    </w:p>
    <w:p w14:paraId="06E7F0E6" w14:textId="77777777" w:rsidR="000D5B9F" w:rsidRDefault="000D5B9F">
      <w:pPr>
        <w:ind w:left="851" w:right="892"/>
        <w:jc w:val="both"/>
        <w:rPr>
          <w:rFonts w:ascii="Arial" w:hAnsi="Arial" w:cs="Arial"/>
          <w:i/>
          <w:iCs/>
          <w:sz w:val="28"/>
          <w:szCs w:val="28"/>
          <w:u w:val="single"/>
        </w:rPr>
      </w:pPr>
      <w:r>
        <w:rPr>
          <w:rFonts w:ascii="Arial" w:hAnsi="Arial" w:cs="Arial"/>
          <w:i/>
          <w:iCs/>
          <w:sz w:val="28"/>
          <w:szCs w:val="28"/>
          <w:u w:val="single"/>
        </w:rPr>
        <w:t>METODOLOGÍAS PARA DESARROLLAR EL ERA</w:t>
      </w:r>
    </w:p>
    <w:p w14:paraId="0B116E1A" w14:textId="77777777" w:rsidR="000D5B9F" w:rsidRDefault="000D5B9F">
      <w:pPr>
        <w:ind w:left="851" w:right="892"/>
        <w:jc w:val="both"/>
        <w:rPr>
          <w:sz w:val="28"/>
          <w:szCs w:val="28"/>
        </w:rPr>
      </w:pPr>
      <w:r>
        <w:rPr>
          <w:sz w:val="28"/>
          <w:szCs w:val="28"/>
        </w:rPr>
        <w:t>Para realizar un ERA, primero se tiene que realizar un Análisis de Riesgo en los Procesos (ARP) el cual consta de la identificación de peligros, la identificación de escenarios de riesgo, y la jerarquización de estos.</w:t>
      </w:r>
    </w:p>
    <w:p w14:paraId="36B98BAC" w14:textId="77777777" w:rsidR="000D5B9F" w:rsidRDefault="000D5B9F">
      <w:pPr>
        <w:ind w:left="851" w:right="892"/>
        <w:jc w:val="both"/>
        <w:rPr>
          <w:sz w:val="28"/>
          <w:szCs w:val="28"/>
        </w:rPr>
      </w:pPr>
      <w:r>
        <w:rPr>
          <w:sz w:val="28"/>
          <w:szCs w:val="28"/>
        </w:rPr>
        <w:t xml:space="preserve">Cada una de las guías para la elaboración de estudios de riesgo ambiental en México, elaboradas por la DGIRA, ASEA y DGGIMAR, tiene un enfoque específico que se refleja en la metodología que sugieren para llevar a cabo un ERA. </w:t>
      </w:r>
    </w:p>
    <w:p w14:paraId="07301705" w14:textId="77777777" w:rsidR="000D5B9F" w:rsidRDefault="000D5B9F">
      <w:pPr>
        <w:ind w:left="851" w:right="892"/>
        <w:jc w:val="both"/>
        <w:rPr>
          <w:sz w:val="28"/>
          <w:szCs w:val="28"/>
        </w:rPr>
      </w:pPr>
      <w:r>
        <w:rPr>
          <w:sz w:val="28"/>
          <w:szCs w:val="28"/>
        </w:rPr>
        <w:t>En la siguiente tabla se muestran las sugerencias de cada guía.</w:t>
      </w:r>
    </w:p>
    <w:p w14:paraId="5AEFCF31" w14:textId="77777777" w:rsidR="000D5B9F" w:rsidRDefault="000D5B9F">
      <w:pPr>
        <w:ind w:left="851" w:right="892"/>
        <w:jc w:val="center"/>
        <w:rPr>
          <w:sz w:val="28"/>
          <w:szCs w:val="28"/>
        </w:rPr>
      </w:pPr>
      <w:r>
        <w:rPr>
          <w:sz w:val="28"/>
          <w:szCs w:val="28"/>
        </w:rPr>
        <w:t>Tabla 2. Metodologías por guía.</w:t>
      </w:r>
    </w:p>
    <w:tbl>
      <w:tblPr>
        <w:tblStyle w:val="Tablaconcuadrcula"/>
        <w:tblW w:w="0" w:type="auto"/>
        <w:jc w:val="center"/>
        <w:tblInd w:w="0" w:type="dxa"/>
        <w:tblLook w:val="04A0" w:firstRow="1" w:lastRow="0" w:firstColumn="1" w:lastColumn="0" w:noHBand="0" w:noVBand="1"/>
      </w:tblPr>
      <w:tblGrid>
        <w:gridCol w:w="2442"/>
        <w:gridCol w:w="2721"/>
        <w:gridCol w:w="2906"/>
        <w:gridCol w:w="2721"/>
      </w:tblGrid>
      <w:tr w:rsidR="009B1C1A" w14:paraId="296B9D80" w14:textId="77777777">
        <w:trPr>
          <w:trHeight w:val="371"/>
          <w:jc w:val="center"/>
        </w:trPr>
        <w:tc>
          <w:tcPr>
            <w:tcW w:w="1899" w:type="dxa"/>
            <w:tcBorders>
              <w:top w:val="single" w:sz="4" w:space="0" w:color="auto"/>
              <w:left w:val="single" w:sz="4" w:space="0" w:color="auto"/>
              <w:bottom w:val="single" w:sz="4" w:space="0" w:color="auto"/>
              <w:right w:val="single" w:sz="4" w:space="0" w:color="auto"/>
            </w:tcBorders>
          </w:tcPr>
          <w:p w14:paraId="3CEC635E" w14:textId="77777777" w:rsidR="000D5B9F" w:rsidRDefault="000D5B9F">
            <w:pPr>
              <w:spacing w:after="0" w:line="240" w:lineRule="auto"/>
              <w:ind w:left="851" w:right="892"/>
              <w:jc w:val="both"/>
              <w:rPr>
                <w:sz w:val="28"/>
                <w:szCs w:val="28"/>
              </w:rPr>
            </w:pPr>
          </w:p>
        </w:tc>
        <w:tc>
          <w:tcPr>
            <w:tcW w:w="10443" w:type="dxa"/>
            <w:gridSpan w:val="3"/>
            <w:tcBorders>
              <w:top w:val="single" w:sz="4" w:space="0" w:color="auto"/>
              <w:left w:val="single" w:sz="4" w:space="0" w:color="auto"/>
              <w:bottom w:val="single" w:sz="4" w:space="0" w:color="auto"/>
              <w:right w:val="single" w:sz="4" w:space="0" w:color="auto"/>
            </w:tcBorders>
            <w:hideMark/>
          </w:tcPr>
          <w:p w14:paraId="53ACDB73" w14:textId="77777777" w:rsidR="000D5B9F" w:rsidRDefault="000D5B9F">
            <w:pPr>
              <w:spacing w:after="0" w:line="240" w:lineRule="auto"/>
              <w:ind w:left="851" w:right="892"/>
              <w:jc w:val="center"/>
              <w:rPr>
                <w:b/>
                <w:bCs/>
                <w:sz w:val="28"/>
                <w:szCs w:val="28"/>
              </w:rPr>
            </w:pPr>
            <w:r>
              <w:rPr>
                <w:b/>
                <w:bCs/>
                <w:sz w:val="28"/>
                <w:szCs w:val="28"/>
              </w:rPr>
              <w:t>Metodologías recomendadas para…</w:t>
            </w:r>
          </w:p>
        </w:tc>
      </w:tr>
      <w:tr w:rsidR="009B1C1A" w14:paraId="66588F2A" w14:textId="77777777">
        <w:trPr>
          <w:trHeight w:val="759"/>
          <w:jc w:val="center"/>
        </w:trPr>
        <w:tc>
          <w:tcPr>
            <w:tcW w:w="1899" w:type="dxa"/>
            <w:tcBorders>
              <w:top w:val="single" w:sz="4" w:space="0" w:color="auto"/>
              <w:left w:val="single" w:sz="4" w:space="0" w:color="auto"/>
              <w:bottom w:val="single" w:sz="4" w:space="0" w:color="auto"/>
              <w:right w:val="single" w:sz="4" w:space="0" w:color="auto"/>
            </w:tcBorders>
          </w:tcPr>
          <w:p w14:paraId="2085FF5C" w14:textId="77777777" w:rsidR="000D5B9F" w:rsidRDefault="000D5B9F">
            <w:pPr>
              <w:spacing w:after="0" w:line="240" w:lineRule="auto"/>
              <w:ind w:left="851" w:right="892"/>
              <w:jc w:val="both"/>
              <w:rPr>
                <w:sz w:val="28"/>
                <w:szCs w:val="28"/>
              </w:rPr>
            </w:pPr>
          </w:p>
        </w:tc>
        <w:tc>
          <w:tcPr>
            <w:tcW w:w="3488" w:type="dxa"/>
            <w:tcBorders>
              <w:top w:val="single" w:sz="4" w:space="0" w:color="auto"/>
              <w:left w:val="single" w:sz="4" w:space="0" w:color="auto"/>
              <w:bottom w:val="single" w:sz="4" w:space="0" w:color="auto"/>
              <w:right w:val="single" w:sz="4" w:space="0" w:color="auto"/>
            </w:tcBorders>
            <w:hideMark/>
          </w:tcPr>
          <w:p w14:paraId="4FA22751" w14:textId="77777777" w:rsidR="000D5B9F" w:rsidRDefault="000D5B9F">
            <w:pPr>
              <w:spacing w:after="0" w:line="240" w:lineRule="auto"/>
              <w:ind w:left="851" w:right="1568" w:hanging="713"/>
              <w:jc w:val="both"/>
              <w:rPr>
                <w:b/>
                <w:bCs/>
                <w:sz w:val="28"/>
                <w:szCs w:val="28"/>
              </w:rPr>
            </w:pPr>
            <w:r>
              <w:rPr>
                <w:b/>
                <w:bCs/>
                <w:sz w:val="28"/>
                <w:szCs w:val="28"/>
              </w:rPr>
              <w:t>Identificar Riesgos</w:t>
            </w:r>
          </w:p>
        </w:tc>
        <w:tc>
          <w:tcPr>
            <w:tcW w:w="4005" w:type="dxa"/>
            <w:tcBorders>
              <w:top w:val="single" w:sz="4" w:space="0" w:color="auto"/>
              <w:left w:val="single" w:sz="4" w:space="0" w:color="auto"/>
              <w:bottom w:val="single" w:sz="4" w:space="0" w:color="auto"/>
              <w:right w:val="single" w:sz="4" w:space="0" w:color="auto"/>
            </w:tcBorders>
            <w:hideMark/>
          </w:tcPr>
          <w:p w14:paraId="1ACB1F6D" w14:textId="77777777" w:rsidR="000D5B9F" w:rsidRDefault="000D5B9F">
            <w:pPr>
              <w:spacing w:after="0" w:line="240" w:lineRule="auto"/>
              <w:ind w:left="851" w:right="1568" w:hanging="713"/>
              <w:jc w:val="both"/>
              <w:rPr>
                <w:b/>
                <w:bCs/>
                <w:sz w:val="28"/>
                <w:szCs w:val="28"/>
              </w:rPr>
            </w:pPr>
            <w:r>
              <w:rPr>
                <w:b/>
                <w:bCs/>
                <w:sz w:val="28"/>
                <w:szCs w:val="28"/>
              </w:rPr>
              <w:t>Identificar Escenario</w:t>
            </w:r>
          </w:p>
        </w:tc>
        <w:tc>
          <w:tcPr>
            <w:tcW w:w="2949" w:type="dxa"/>
            <w:tcBorders>
              <w:top w:val="single" w:sz="4" w:space="0" w:color="auto"/>
              <w:left w:val="single" w:sz="4" w:space="0" w:color="auto"/>
              <w:bottom w:val="single" w:sz="4" w:space="0" w:color="auto"/>
              <w:right w:val="single" w:sz="4" w:space="0" w:color="auto"/>
            </w:tcBorders>
            <w:hideMark/>
          </w:tcPr>
          <w:p w14:paraId="7D8159A2" w14:textId="77777777" w:rsidR="000D5B9F" w:rsidRDefault="000D5B9F">
            <w:pPr>
              <w:spacing w:after="0" w:line="240" w:lineRule="auto"/>
              <w:ind w:left="851" w:right="1568" w:hanging="713"/>
              <w:jc w:val="both"/>
              <w:rPr>
                <w:b/>
                <w:bCs/>
                <w:sz w:val="28"/>
                <w:szCs w:val="28"/>
              </w:rPr>
            </w:pPr>
            <w:r>
              <w:rPr>
                <w:b/>
                <w:bCs/>
                <w:sz w:val="28"/>
                <w:szCs w:val="28"/>
              </w:rPr>
              <w:t>Jerarquizar Riesgos</w:t>
            </w:r>
          </w:p>
        </w:tc>
      </w:tr>
      <w:tr w:rsidR="009B1C1A" w14:paraId="0DFB6D36" w14:textId="77777777">
        <w:trPr>
          <w:trHeight w:val="741"/>
          <w:jc w:val="center"/>
        </w:trPr>
        <w:tc>
          <w:tcPr>
            <w:tcW w:w="1899" w:type="dxa"/>
            <w:tcBorders>
              <w:top w:val="single" w:sz="4" w:space="0" w:color="auto"/>
              <w:left w:val="single" w:sz="4" w:space="0" w:color="auto"/>
              <w:bottom w:val="single" w:sz="4" w:space="0" w:color="auto"/>
              <w:right w:val="single" w:sz="4" w:space="0" w:color="auto"/>
            </w:tcBorders>
            <w:hideMark/>
          </w:tcPr>
          <w:p w14:paraId="6E792D13" w14:textId="77777777" w:rsidR="000D5B9F" w:rsidRDefault="000D5B9F">
            <w:pPr>
              <w:spacing w:after="0" w:line="240" w:lineRule="auto"/>
              <w:ind w:left="851" w:right="892"/>
              <w:jc w:val="both"/>
              <w:rPr>
                <w:b/>
                <w:bCs/>
                <w:sz w:val="28"/>
                <w:szCs w:val="28"/>
              </w:rPr>
            </w:pPr>
            <w:r>
              <w:rPr>
                <w:b/>
                <w:bCs/>
                <w:sz w:val="28"/>
                <w:szCs w:val="28"/>
              </w:rPr>
              <w:t>DGIRA</w:t>
            </w:r>
          </w:p>
        </w:tc>
        <w:tc>
          <w:tcPr>
            <w:tcW w:w="3488" w:type="dxa"/>
            <w:tcBorders>
              <w:top w:val="single" w:sz="4" w:space="0" w:color="auto"/>
              <w:left w:val="single" w:sz="4" w:space="0" w:color="auto"/>
              <w:bottom w:val="single" w:sz="4" w:space="0" w:color="auto"/>
              <w:right w:val="single" w:sz="4" w:space="0" w:color="auto"/>
            </w:tcBorders>
            <w:hideMark/>
          </w:tcPr>
          <w:p w14:paraId="39C3248B" w14:textId="77777777" w:rsidR="000D5B9F" w:rsidRDefault="000D5B9F">
            <w:pPr>
              <w:spacing w:after="0" w:line="240" w:lineRule="auto"/>
              <w:ind w:right="892"/>
              <w:jc w:val="both"/>
              <w:rPr>
                <w:sz w:val="28"/>
                <w:szCs w:val="28"/>
              </w:rPr>
            </w:pPr>
            <w:r>
              <w:rPr>
                <w:sz w:val="28"/>
                <w:szCs w:val="28"/>
              </w:rPr>
              <w:t>FMEA.</w:t>
            </w:r>
          </w:p>
        </w:tc>
        <w:tc>
          <w:tcPr>
            <w:tcW w:w="4005" w:type="dxa"/>
            <w:tcBorders>
              <w:top w:val="single" w:sz="4" w:space="0" w:color="auto"/>
              <w:left w:val="single" w:sz="4" w:space="0" w:color="auto"/>
              <w:bottom w:val="single" w:sz="4" w:space="0" w:color="auto"/>
              <w:right w:val="single" w:sz="4" w:space="0" w:color="auto"/>
            </w:tcBorders>
            <w:hideMark/>
          </w:tcPr>
          <w:p w14:paraId="0E5DBF0B" w14:textId="77777777" w:rsidR="000D5B9F" w:rsidRDefault="000D5B9F">
            <w:pPr>
              <w:spacing w:after="0" w:line="240" w:lineRule="auto"/>
              <w:ind w:left="57" w:right="892"/>
              <w:jc w:val="both"/>
              <w:rPr>
                <w:sz w:val="28"/>
                <w:szCs w:val="28"/>
              </w:rPr>
            </w:pPr>
            <w:r>
              <w:rPr>
                <w:sz w:val="28"/>
                <w:szCs w:val="28"/>
              </w:rPr>
              <w:t>Árbol de fallos, Árbol de eventos, HAZOP.</w:t>
            </w:r>
          </w:p>
        </w:tc>
        <w:tc>
          <w:tcPr>
            <w:tcW w:w="2949" w:type="dxa"/>
            <w:tcBorders>
              <w:top w:val="single" w:sz="4" w:space="0" w:color="auto"/>
              <w:left w:val="single" w:sz="4" w:space="0" w:color="auto"/>
              <w:bottom w:val="single" w:sz="4" w:space="0" w:color="auto"/>
              <w:right w:val="single" w:sz="4" w:space="0" w:color="auto"/>
            </w:tcBorders>
            <w:hideMark/>
          </w:tcPr>
          <w:p w14:paraId="3D76B49B" w14:textId="77777777" w:rsidR="000D5B9F" w:rsidRDefault="000D5B9F">
            <w:pPr>
              <w:spacing w:after="0" w:line="240" w:lineRule="auto"/>
              <w:ind w:left="166" w:right="892"/>
              <w:jc w:val="both"/>
              <w:rPr>
                <w:sz w:val="28"/>
                <w:szCs w:val="28"/>
              </w:rPr>
            </w:pPr>
            <w:r>
              <w:rPr>
                <w:sz w:val="28"/>
                <w:szCs w:val="28"/>
              </w:rPr>
              <w:t>Matriz de Riesgos</w:t>
            </w:r>
          </w:p>
        </w:tc>
      </w:tr>
      <w:tr w:rsidR="009B1C1A" w14:paraId="02A29C02" w14:textId="77777777">
        <w:trPr>
          <w:trHeight w:val="1130"/>
          <w:jc w:val="center"/>
        </w:trPr>
        <w:tc>
          <w:tcPr>
            <w:tcW w:w="1899" w:type="dxa"/>
            <w:tcBorders>
              <w:top w:val="single" w:sz="4" w:space="0" w:color="auto"/>
              <w:left w:val="single" w:sz="4" w:space="0" w:color="auto"/>
              <w:bottom w:val="single" w:sz="4" w:space="0" w:color="auto"/>
              <w:right w:val="single" w:sz="4" w:space="0" w:color="auto"/>
            </w:tcBorders>
            <w:hideMark/>
          </w:tcPr>
          <w:p w14:paraId="01996E5D" w14:textId="77777777" w:rsidR="000D5B9F" w:rsidRDefault="000D5B9F">
            <w:pPr>
              <w:spacing w:after="0" w:line="240" w:lineRule="auto"/>
              <w:ind w:left="851" w:right="892"/>
              <w:jc w:val="both"/>
              <w:rPr>
                <w:b/>
                <w:bCs/>
                <w:sz w:val="28"/>
                <w:szCs w:val="28"/>
              </w:rPr>
            </w:pPr>
            <w:r>
              <w:rPr>
                <w:b/>
                <w:bCs/>
                <w:sz w:val="28"/>
                <w:szCs w:val="28"/>
              </w:rPr>
              <w:t>DGGIMAR</w:t>
            </w:r>
          </w:p>
        </w:tc>
        <w:tc>
          <w:tcPr>
            <w:tcW w:w="3488" w:type="dxa"/>
            <w:tcBorders>
              <w:top w:val="single" w:sz="4" w:space="0" w:color="auto"/>
              <w:left w:val="single" w:sz="4" w:space="0" w:color="auto"/>
              <w:bottom w:val="single" w:sz="4" w:space="0" w:color="auto"/>
              <w:right w:val="single" w:sz="4" w:space="0" w:color="auto"/>
            </w:tcBorders>
            <w:hideMark/>
          </w:tcPr>
          <w:p w14:paraId="762B8CAC" w14:textId="77777777" w:rsidR="000D5B9F" w:rsidRDefault="000D5B9F">
            <w:pPr>
              <w:spacing w:after="0" w:line="240" w:lineRule="auto"/>
              <w:ind w:right="892"/>
              <w:jc w:val="both"/>
              <w:rPr>
                <w:sz w:val="28"/>
                <w:szCs w:val="28"/>
              </w:rPr>
            </w:pPr>
            <w:r>
              <w:rPr>
                <w:sz w:val="28"/>
                <w:szCs w:val="28"/>
              </w:rPr>
              <w:t>What If, Check List, FMEA, HAZID.</w:t>
            </w:r>
          </w:p>
        </w:tc>
        <w:tc>
          <w:tcPr>
            <w:tcW w:w="4005" w:type="dxa"/>
            <w:tcBorders>
              <w:top w:val="single" w:sz="4" w:space="0" w:color="auto"/>
              <w:left w:val="single" w:sz="4" w:space="0" w:color="auto"/>
              <w:bottom w:val="single" w:sz="4" w:space="0" w:color="auto"/>
              <w:right w:val="single" w:sz="4" w:space="0" w:color="auto"/>
            </w:tcBorders>
            <w:hideMark/>
          </w:tcPr>
          <w:p w14:paraId="7FC086BC" w14:textId="77777777" w:rsidR="000D5B9F" w:rsidRDefault="000D5B9F">
            <w:pPr>
              <w:spacing w:after="0" w:line="240" w:lineRule="auto"/>
              <w:ind w:left="57" w:right="892"/>
              <w:jc w:val="both"/>
              <w:rPr>
                <w:sz w:val="28"/>
                <w:szCs w:val="28"/>
              </w:rPr>
            </w:pPr>
            <w:r>
              <w:rPr>
                <w:sz w:val="28"/>
                <w:szCs w:val="28"/>
              </w:rPr>
              <w:t>Árbol de fallos, Árbol de eventos, HAZOP, Índice Dow, Índice Mond.</w:t>
            </w:r>
          </w:p>
        </w:tc>
        <w:tc>
          <w:tcPr>
            <w:tcW w:w="2949" w:type="dxa"/>
            <w:tcBorders>
              <w:top w:val="single" w:sz="4" w:space="0" w:color="auto"/>
              <w:left w:val="single" w:sz="4" w:space="0" w:color="auto"/>
              <w:bottom w:val="single" w:sz="4" w:space="0" w:color="auto"/>
              <w:right w:val="single" w:sz="4" w:space="0" w:color="auto"/>
            </w:tcBorders>
            <w:hideMark/>
          </w:tcPr>
          <w:p w14:paraId="17FDE764" w14:textId="77777777" w:rsidR="000D5B9F" w:rsidRDefault="000D5B9F">
            <w:pPr>
              <w:spacing w:after="0" w:line="240" w:lineRule="auto"/>
              <w:ind w:left="166" w:right="892"/>
              <w:jc w:val="both"/>
              <w:rPr>
                <w:sz w:val="28"/>
                <w:szCs w:val="28"/>
              </w:rPr>
            </w:pPr>
            <w:r>
              <w:rPr>
                <w:sz w:val="28"/>
                <w:szCs w:val="28"/>
              </w:rPr>
              <w:t xml:space="preserve">Matriz de Riesgos </w:t>
            </w:r>
          </w:p>
        </w:tc>
      </w:tr>
      <w:tr w:rsidR="009B1C1A" w14:paraId="026DB8A8" w14:textId="77777777">
        <w:trPr>
          <w:trHeight w:val="1130"/>
          <w:jc w:val="center"/>
        </w:trPr>
        <w:tc>
          <w:tcPr>
            <w:tcW w:w="1899" w:type="dxa"/>
            <w:tcBorders>
              <w:top w:val="single" w:sz="4" w:space="0" w:color="auto"/>
              <w:left w:val="single" w:sz="4" w:space="0" w:color="auto"/>
              <w:bottom w:val="single" w:sz="4" w:space="0" w:color="auto"/>
              <w:right w:val="single" w:sz="4" w:space="0" w:color="auto"/>
            </w:tcBorders>
            <w:hideMark/>
          </w:tcPr>
          <w:p w14:paraId="3347A071" w14:textId="77777777" w:rsidR="000D5B9F" w:rsidRDefault="000D5B9F">
            <w:pPr>
              <w:spacing w:after="0" w:line="240" w:lineRule="auto"/>
              <w:ind w:left="851" w:right="892"/>
              <w:jc w:val="both"/>
              <w:rPr>
                <w:b/>
                <w:bCs/>
                <w:sz w:val="28"/>
                <w:szCs w:val="28"/>
              </w:rPr>
            </w:pPr>
            <w:r>
              <w:rPr>
                <w:b/>
                <w:bCs/>
                <w:sz w:val="28"/>
                <w:szCs w:val="28"/>
              </w:rPr>
              <w:t>ASEA</w:t>
            </w:r>
          </w:p>
        </w:tc>
        <w:tc>
          <w:tcPr>
            <w:tcW w:w="3488" w:type="dxa"/>
            <w:tcBorders>
              <w:top w:val="single" w:sz="4" w:space="0" w:color="auto"/>
              <w:left w:val="single" w:sz="4" w:space="0" w:color="auto"/>
              <w:bottom w:val="single" w:sz="4" w:space="0" w:color="auto"/>
              <w:right w:val="single" w:sz="4" w:space="0" w:color="auto"/>
            </w:tcBorders>
            <w:hideMark/>
          </w:tcPr>
          <w:p w14:paraId="5DE2CCDE" w14:textId="77777777" w:rsidR="000D5B9F" w:rsidRDefault="000D5B9F">
            <w:pPr>
              <w:spacing w:after="0" w:line="240" w:lineRule="auto"/>
              <w:ind w:right="892"/>
              <w:jc w:val="both"/>
              <w:rPr>
                <w:sz w:val="28"/>
                <w:szCs w:val="28"/>
              </w:rPr>
            </w:pPr>
            <w:r>
              <w:rPr>
                <w:sz w:val="28"/>
                <w:szCs w:val="28"/>
              </w:rPr>
              <w:t>What If, Check List,HAZID, ACH, Bow Tie.</w:t>
            </w:r>
          </w:p>
        </w:tc>
        <w:tc>
          <w:tcPr>
            <w:tcW w:w="4005" w:type="dxa"/>
            <w:tcBorders>
              <w:top w:val="single" w:sz="4" w:space="0" w:color="auto"/>
              <w:left w:val="single" w:sz="4" w:space="0" w:color="auto"/>
              <w:bottom w:val="single" w:sz="4" w:space="0" w:color="auto"/>
              <w:right w:val="single" w:sz="4" w:space="0" w:color="auto"/>
            </w:tcBorders>
            <w:hideMark/>
          </w:tcPr>
          <w:p w14:paraId="60DA4BDF" w14:textId="77777777" w:rsidR="000D5B9F" w:rsidRDefault="000D5B9F">
            <w:pPr>
              <w:spacing w:after="0" w:line="240" w:lineRule="auto"/>
              <w:ind w:left="57" w:right="892"/>
              <w:jc w:val="both"/>
              <w:rPr>
                <w:sz w:val="28"/>
                <w:szCs w:val="28"/>
              </w:rPr>
            </w:pPr>
            <w:r>
              <w:rPr>
                <w:sz w:val="28"/>
                <w:szCs w:val="28"/>
              </w:rPr>
              <w:t>Árbol de fallos, Árbol de eventos, HAZOP.</w:t>
            </w:r>
          </w:p>
        </w:tc>
        <w:tc>
          <w:tcPr>
            <w:tcW w:w="2949" w:type="dxa"/>
            <w:tcBorders>
              <w:top w:val="single" w:sz="4" w:space="0" w:color="auto"/>
              <w:left w:val="single" w:sz="4" w:space="0" w:color="auto"/>
              <w:bottom w:val="single" w:sz="4" w:space="0" w:color="auto"/>
              <w:right w:val="single" w:sz="4" w:space="0" w:color="auto"/>
            </w:tcBorders>
            <w:hideMark/>
          </w:tcPr>
          <w:p w14:paraId="319D8114" w14:textId="77777777" w:rsidR="000D5B9F" w:rsidRDefault="000D5B9F">
            <w:pPr>
              <w:spacing w:after="0" w:line="240" w:lineRule="auto"/>
              <w:ind w:left="166" w:right="892"/>
              <w:jc w:val="both"/>
              <w:rPr>
                <w:sz w:val="28"/>
                <w:szCs w:val="28"/>
              </w:rPr>
            </w:pPr>
            <w:r>
              <w:rPr>
                <w:sz w:val="28"/>
                <w:szCs w:val="28"/>
              </w:rPr>
              <w:t>Índices de frecuencia y Severidad.</w:t>
            </w:r>
          </w:p>
        </w:tc>
      </w:tr>
    </w:tbl>
    <w:p w14:paraId="4651B715" w14:textId="77777777" w:rsidR="000D5B9F" w:rsidRDefault="000D5B9F">
      <w:pPr>
        <w:ind w:left="851" w:right="892"/>
        <w:jc w:val="both"/>
        <w:rPr>
          <w:sz w:val="28"/>
          <w:szCs w:val="28"/>
        </w:rPr>
      </w:pPr>
    </w:p>
    <w:p w14:paraId="47E9875C" w14:textId="77777777" w:rsidR="000D5B9F" w:rsidRDefault="000D5B9F">
      <w:pPr>
        <w:ind w:left="851" w:right="892"/>
        <w:jc w:val="both"/>
        <w:rPr>
          <w:sz w:val="28"/>
          <w:szCs w:val="28"/>
        </w:rPr>
      </w:pPr>
      <w:r>
        <w:rPr>
          <w:sz w:val="28"/>
          <w:szCs w:val="28"/>
        </w:rPr>
        <w:t>Basándonos en la figura 1, podemos observar que la guía de la DGGIMAR destaca por presentar una amplia variedad de metodologías propuestas para los distintos niveles de análisis en el estudio de riesgo. En comparación con las guías de la DGIRA y ASEA, la guía de la DGGIMAR proporciona un mayor número de opciones para realizar la identificación de peligros, la identificación de escenarios de riesgo, y la jerarquización de estos. Esta extensa selección de metodologías permite al usuario elegir aquella que mejor se adapte a las necesidades específicas del proyecto y, por ende, asegura una evaluación de riesgo más precisa y completa. Es importante destacar que, aunque la guía de la DGIRA y la ASEA no detallen tantas metodologías, esto no significa que sean menos efectivas en la identificación y evaluación de riesgos, sino que su enfoque y alcance pueden diferir</w:t>
      </w:r>
    </w:p>
    <w:p w14:paraId="7E8FDDFE" w14:textId="0A1DC401" w:rsidR="006D1EC6" w:rsidRDefault="006D1EC6">
      <w:pPr>
        <w:ind w:left="851" w:right="892"/>
        <w:jc w:val="center"/>
        <w:rPr>
          <w:sz w:val="28"/>
          <w:szCs w:val="28"/>
        </w:rPr>
      </w:pPr>
      <w:r>
        <w:rPr>
          <w:noProof/>
          <w:sz w:val="28"/>
          <w:szCs w:val="28"/>
          <w14:ligatures w14:val="none"/>
        </w:rPr>
        <w:drawing>
          <wp:inline distT="0" distB="0" distL="0" distR="0" wp14:anchorId="32F50872" wp14:editId="110941AD">
            <wp:extent cx="4924425" cy="3009900"/>
            <wp:effectExtent l="0" t="0" r="9525" b="0"/>
            <wp:docPr id="114197968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979680" name="Imagen 1141979680"/>
                    <pic:cNvPicPr/>
                  </pic:nvPicPr>
                  <pic:blipFill rotWithShape="1">
                    <a:blip r:embed="rId6">
                      <a:extLst>
                        <a:ext uri="{28A0092B-C50C-407E-A947-70E740481C1C}">
                          <a14:useLocalDpi xmlns:a14="http://schemas.microsoft.com/office/drawing/2010/main" val="0"/>
                        </a:ext>
                      </a:extLst>
                    </a:blip>
                    <a:srcRect r="56112" b="48701"/>
                    <a:stretch/>
                  </pic:blipFill>
                  <pic:spPr bwMode="auto">
                    <a:xfrm>
                      <a:off x="0" y="0"/>
                      <a:ext cx="4924425" cy="3009900"/>
                    </a:xfrm>
                    <a:prstGeom prst="rect">
                      <a:avLst/>
                    </a:prstGeom>
                    <a:ln>
                      <a:noFill/>
                    </a:ln>
                    <a:extLst>
                      <a:ext uri="{53640926-AAD7-44D8-BBD7-CCE9431645EC}">
                        <a14:shadowObscured xmlns:a14="http://schemas.microsoft.com/office/drawing/2010/main"/>
                      </a:ext>
                    </a:extLst>
                  </pic:spPr>
                </pic:pic>
              </a:graphicData>
            </a:graphic>
          </wp:inline>
        </w:drawing>
      </w:r>
    </w:p>
    <w:p w14:paraId="7DD9EA95" w14:textId="77777777" w:rsidR="000D5B9F" w:rsidRDefault="000D5B9F">
      <w:pPr>
        <w:ind w:left="851" w:right="892"/>
        <w:jc w:val="center"/>
        <w:rPr>
          <w:sz w:val="28"/>
          <w:szCs w:val="28"/>
        </w:rPr>
      </w:pPr>
      <w:r>
        <w:rPr>
          <w:sz w:val="28"/>
          <w:szCs w:val="28"/>
        </w:rPr>
        <w:t>Figura 1. Metodologías sugeridas por guía</w:t>
      </w:r>
    </w:p>
    <w:p w14:paraId="2C093F41" w14:textId="77777777" w:rsidR="000D5B9F" w:rsidRDefault="000D5B9F">
      <w:pPr>
        <w:ind w:left="851" w:right="892"/>
        <w:jc w:val="both"/>
        <w:rPr>
          <w:sz w:val="28"/>
          <w:szCs w:val="28"/>
        </w:rPr>
      </w:pPr>
    </w:p>
    <w:p w14:paraId="79CC7474" w14:textId="77777777" w:rsidR="000D5B9F" w:rsidRDefault="000D5B9F">
      <w:pPr>
        <w:ind w:left="851" w:right="892"/>
        <w:jc w:val="both"/>
        <w:rPr>
          <w:noProof/>
          <w:sz w:val="28"/>
          <w:szCs w:val="28"/>
        </w:rPr>
      </w:pPr>
      <w:r>
        <w:rPr>
          <w:sz w:val="28"/>
          <w:szCs w:val="28"/>
        </w:rPr>
        <w:t>En cuanto a las metodologías para identificar riesgos, se ha encontrado que la FMEA es una de las más recomendadas en las guías de la DGIRA, ASEA y DGGIMAR. Sin embargo, es importante destacar que cada guía sugiere una variedad de herramientas y enfoques que pueden ser útiles en distintas situaciones y contextos.</w:t>
      </w:r>
    </w:p>
    <w:p w14:paraId="339C9029" w14:textId="77777777" w:rsidR="000D5B9F" w:rsidRDefault="000D5B9F">
      <w:pPr>
        <w:ind w:left="851" w:right="892"/>
        <w:jc w:val="both"/>
        <w:rPr>
          <w:sz w:val="28"/>
          <w:szCs w:val="28"/>
        </w:rPr>
      </w:pPr>
      <w:r>
        <w:rPr>
          <w:sz w:val="28"/>
          <w:szCs w:val="28"/>
        </w:rPr>
        <w:t>Respecto a la identificación de escenarios de riesgo, las tres guías coinciden en la recomendación de usar HAZOP, árbol de eventos y árbol de fallas. Estas herramientas permiten identificar y analizar los posibles escenarios de riesgo que podrían ocurrir durante la operación de un proyecto o actividad.</w:t>
      </w:r>
    </w:p>
    <w:p w14:paraId="18533EDA" w14:textId="77777777" w:rsidR="000D5B9F" w:rsidRDefault="000D5B9F">
      <w:pPr>
        <w:ind w:left="851" w:right="892"/>
        <w:jc w:val="both"/>
        <w:rPr>
          <w:sz w:val="28"/>
          <w:szCs w:val="28"/>
        </w:rPr>
      </w:pPr>
      <w:r>
        <w:rPr>
          <w:sz w:val="28"/>
          <w:szCs w:val="28"/>
        </w:rPr>
        <w:t>Finalmente, en cuanto a la jerarquización de riesgos, es importante destacar que la DGIRA y la DGGIMAR sugieren el uso de una matriz de riesgos, la cual permite clasificar los riesgos según su probabilidad e impacto. Por otro lado, la guía de la ASEA recomienda el uso de índices de frecuencia y severidad para priorizar los riesgos identificados. Es importante evaluar la idoneidad de cada enfoque y herramienta para cada caso específico, considerando las características del proyecto, el sector y el contexto en el que se desarrolla.</w:t>
      </w:r>
    </w:p>
    <w:p w14:paraId="4C9EEF63" w14:textId="77777777" w:rsidR="000D5B9F" w:rsidRDefault="000D5B9F">
      <w:pPr>
        <w:ind w:left="851" w:right="892"/>
        <w:jc w:val="both"/>
        <w:rPr>
          <w:sz w:val="28"/>
          <w:szCs w:val="28"/>
        </w:rPr>
      </w:pPr>
    </w:p>
    <w:p w14:paraId="085279AB" w14:textId="77777777" w:rsidR="000D5B9F" w:rsidRDefault="000D5B9F">
      <w:pPr>
        <w:ind w:left="851" w:right="892"/>
        <w:jc w:val="both"/>
        <w:rPr>
          <w:rFonts w:ascii="Arial" w:hAnsi="Arial" w:cs="Arial"/>
          <w:i/>
          <w:iCs/>
          <w:sz w:val="28"/>
          <w:szCs w:val="28"/>
          <w:u w:val="single"/>
        </w:rPr>
      </w:pPr>
      <w:r>
        <w:rPr>
          <w:rFonts w:ascii="Arial" w:hAnsi="Arial" w:cs="Arial"/>
          <w:i/>
          <w:iCs/>
          <w:sz w:val="28"/>
          <w:szCs w:val="28"/>
          <w:u w:val="single"/>
        </w:rPr>
        <w:t>CRITERIOS PARA DETERMINAR ZONA DE SALVAGUARDA.</w:t>
      </w:r>
    </w:p>
    <w:p w14:paraId="5F123A49" w14:textId="77777777" w:rsidR="000D5B9F" w:rsidRDefault="000D5B9F">
      <w:pPr>
        <w:ind w:left="851" w:right="892"/>
        <w:jc w:val="both"/>
        <w:rPr>
          <w:sz w:val="28"/>
          <w:szCs w:val="28"/>
        </w:rPr>
      </w:pPr>
      <w:r>
        <w:rPr>
          <w:sz w:val="28"/>
          <w:szCs w:val="28"/>
        </w:rPr>
        <w:t>No se puede identificar una fórmula única que se aplique a todas las situaciones de riesgo, sino que depende de las características específicas de cada proyecto y sus posibles riesgos asociados. Por lo tanto, las guías de la DGIRA, ASEA y DGGIMAR proporcionan el mismo criterio para determinar la Zona de Salvaguarda.</w:t>
      </w:r>
    </w:p>
    <w:p w14:paraId="5952DFF4" w14:textId="77777777" w:rsidR="000D5B9F" w:rsidRDefault="000D5B9F">
      <w:pPr>
        <w:ind w:left="851" w:right="892"/>
        <w:jc w:val="both"/>
        <w:rPr>
          <w:sz w:val="28"/>
          <w:szCs w:val="28"/>
        </w:rPr>
      </w:pPr>
    </w:p>
    <w:p w14:paraId="5B6680E2" w14:textId="77777777" w:rsidR="000D5B9F" w:rsidRDefault="000D5B9F">
      <w:pPr>
        <w:ind w:left="851" w:right="892"/>
        <w:jc w:val="center"/>
        <w:rPr>
          <w:sz w:val="28"/>
          <w:szCs w:val="28"/>
        </w:rPr>
      </w:pPr>
      <w:r>
        <w:rPr>
          <w:sz w:val="28"/>
          <w:szCs w:val="28"/>
        </w:rPr>
        <w:t>Tabla 3. Criterios para Determinar Zona de Salvaguarda</w:t>
      </w:r>
    </w:p>
    <w:tbl>
      <w:tblPr>
        <w:tblW w:w="124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737"/>
        <w:gridCol w:w="2886"/>
        <w:gridCol w:w="3000"/>
        <w:gridCol w:w="2995"/>
        <w:gridCol w:w="2886"/>
        <w:gridCol w:w="3000"/>
        <w:gridCol w:w="2995"/>
      </w:tblGrid>
      <w:tr w:rsidR="009B1C1A" w14:paraId="1E9A11B0" w14:textId="77777777">
        <w:trPr>
          <w:trHeight w:val="452"/>
          <w:jc w:val="center"/>
        </w:trPr>
        <w:tc>
          <w:tcPr>
            <w:tcW w:w="1808" w:type="dxa"/>
            <w:tcBorders>
              <w:top w:val="single" w:sz="4" w:space="0" w:color="auto"/>
              <w:left w:val="single" w:sz="4" w:space="0" w:color="auto"/>
              <w:bottom w:val="single" w:sz="4" w:space="0" w:color="auto"/>
              <w:right w:val="single" w:sz="4" w:space="0" w:color="auto"/>
            </w:tcBorders>
            <w:shd w:val="clear" w:color="auto" w:fill="E7E6E6"/>
            <w:vAlign w:val="center"/>
            <w:hideMark/>
          </w:tcPr>
          <w:p w14:paraId="066B57DD" w14:textId="77777777" w:rsidR="000D5B9F" w:rsidRDefault="000D5B9F">
            <w:pPr>
              <w:rPr>
                <w:sz w:val="28"/>
                <w:szCs w:val="28"/>
              </w:rPr>
            </w:pPr>
          </w:p>
        </w:tc>
        <w:tc>
          <w:tcPr>
            <w:tcW w:w="5325" w:type="dxa"/>
            <w:gridSpan w:val="3"/>
            <w:tcBorders>
              <w:top w:val="single" w:sz="4" w:space="0" w:color="auto"/>
              <w:left w:val="single" w:sz="4" w:space="0" w:color="auto"/>
              <w:bottom w:val="single" w:sz="4" w:space="0" w:color="auto"/>
              <w:right w:val="single" w:sz="4" w:space="0" w:color="auto"/>
            </w:tcBorders>
            <w:shd w:val="clear" w:color="auto" w:fill="E7E6E6"/>
            <w:vAlign w:val="center"/>
            <w:hideMark/>
          </w:tcPr>
          <w:p w14:paraId="5F167321" w14:textId="77777777" w:rsidR="000D5B9F" w:rsidRDefault="000D5B9F">
            <w:pPr>
              <w:spacing w:after="0" w:line="240" w:lineRule="auto"/>
              <w:ind w:left="851" w:right="892"/>
              <w:jc w:val="both"/>
              <w:rPr>
                <w:rFonts w:ascii="Calibri" w:eastAsia="Times New Roman" w:hAnsi="Calibri" w:cs="Calibri"/>
                <w:b/>
                <w:bCs/>
                <w:color w:val="000000"/>
                <w:kern w:val="0"/>
                <w:sz w:val="28"/>
                <w:szCs w:val="28"/>
                <w:lang w:eastAsia="es-MX"/>
                <w14:ligatures w14:val="none"/>
              </w:rPr>
            </w:pPr>
            <w:r>
              <w:rPr>
                <w:rFonts w:ascii="Calibri" w:eastAsia="Times New Roman" w:hAnsi="Calibri" w:cs="Calibri"/>
                <w:b/>
                <w:bCs/>
                <w:color w:val="000000"/>
                <w:kern w:val="0"/>
                <w:sz w:val="28"/>
                <w:szCs w:val="28"/>
                <w:lang w:eastAsia="es-MX"/>
                <w14:ligatures w14:val="none"/>
              </w:rPr>
              <w:t>Zona de Riesgo</w:t>
            </w:r>
          </w:p>
        </w:tc>
        <w:tc>
          <w:tcPr>
            <w:tcW w:w="5325" w:type="dxa"/>
            <w:gridSpan w:val="3"/>
            <w:tcBorders>
              <w:top w:val="single" w:sz="4" w:space="0" w:color="auto"/>
              <w:left w:val="single" w:sz="4" w:space="0" w:color="auto"/>
              <w:bottom w:val="single" w:sz="4" w:space="0" w:color="auto"/>
              <w:right w:val="single" w:sz="4" w:space="0" w:color="auto"/>
            </w:tcBorders>
            <w:shd w:val="clear" w:color="auto" w:fill="E7E6E6"/>
            <w:vAlign w:val="center"/>
            <w:hideMark/>
          </w:tcPr>
          <w:p w14:paraId="7B4B9B84" w14:textId="77777777" w:rsidR="000D5B9F" w:rsidRDefault="000D5B9F">
            <w:pPr>
              <w:spacing w:after="0" w:line="240" w:lineRule="auto"/>
              <w:ind w:left="851" w:right="892"/>
              <w:jc w:val="both"/>
              <w:rPr>
                <w:rFonts w:ascii="Calibri" w:eastAsia="Times New Roman" w:hAnsi="Calibri" w:cs="Calibri"/>
                <w:b/>
                <w:bCs/>
                <w:color w:val="000000"/>
                <w:kern w:val="0"/>
                <w:sz w:val="28"/>
                <w:szCs w:val="28"/>
                <w:lang w:eastAsia="es-MX"/>
                <w14:ligatures w14:val="none"/>
              </w:rPr>
            </w:pPr>
            <w:r>
              <w:rPr>
                <w:rFonts w:ascii="Calibri" w:eastAsia="Times New Roman" w:hAnsi="Calibri" w:cs="Calibri"/>
                <w:b/>
                <w:bCs/>
                <w:color w:val="000000"/>
                <w:kern w:val="0"/>
                <w:sz w:val="28"/>
                <w:szCs w:val="28"/>
                <w:lang w:eastAsia="es-MX"/>
                <w14:ligatures w14:val="none"/>
              </w:rPr>
              <w:t>Zona de Amortiguamiento</w:t>
            </w:r>
          </w:p>
        </w:tc>
      </w:tr>
      <w:tr w:rsidR="009B1C1A" w14:paraId="274D5114" w14:textId="77777777">
        <w:trPr>
          <w:trHeight w:val="452"/>
          <w:jc w:val="center"/>
        </w:trPr>
        <w:tc>
          <w:tcPr>
            <w:tcW w:w="1808" w:type="dxa"/>
            <w:tcBorders>
              <w:top w:val="single" w:sz="4" w:space="0" w:color="auto"/>
              <w:left w:val="single" w:sz="4" w:space="0" w:color="auto"/>
              <w:bottom w:val="single" w:sz="4" w:space="0" w:color="auto"/>
              <w:right w:val="single" w:sz="4" w:space="0" w:color="auto"/>
            </w:tcBorders>
            <w:shd w:val="clear" w:color="auto" w:fill="E7E6E6"/>
            <w:hideMark/>
          </w:tcPr>
          <w:p w14:paraId="17A554CC" w14:textId="77777777" w:rsidR="000D5B9F" w:rsidRDefault="000D5B9F">
            <w:pPr>
              <w:spacing w:after="0" w:line="240" w:lineRule="auto"/>
              <w:ind w:left="851" w:right="892"/>
              <w:jc w:val="both"/>
              <w:rPr>
                <w:rFonts w:ascii="Calibri" w:eastAsia="Times New Roman" w:hAnsi="Calibri" w:cs="Calibri"/>
                <w:color w:val="000000"/>
                <w:kern w:val="0"/>
                <w:sz w:val="28"/>
                <w:szCs w:val="28"/>
                <w:lang w:eastAsia="es-MX"/>
                <w14:ligatures w14:val="none"/>
              </w:rPr>
            </w:pPr>
            <w:r>
              <w:rPr>
                <w:rFonts w:ascii="Calibri" w:eastAsia="Times New Roman" w:hAnsi="Calibri" w:cs="Calibri"/>
                <w:color w:val="000000"/>
                <w:kern w:val="0"/>
                <w:sz w:val="28"/>
                <w:szCs w:val="28"/>
                <w:lang w:eastAsia="es-MX"/>
                <w14:ligatures w14:val="none"/>
              </w:rPr>
              <w:t> </w:t>
            </w:r>
          </w:p>
        </w:tc>
        <w:tc>
          <w:tcPr>
            <w:tcW w:w="1722" w:type="dxa"/>
            <w:tcBorders>
              <w:top w:val="single" w:sz="4" w:space="0" w:color="auto"/>
              <w:left w:val="single" w:sz="4" w:space="0" w:color="auto"/>
              <w:bottom w:val="single" w:sz="4" w:space="0" w:color="auto"/>
              <w:right w:val="single" w:sz="4" w:space="0" w:color="auto"/>
            </w:tcBorders>
            <w:shd w:val="clear" w:color="auto" w:fill="E7E6E6"/>
            <w:vAlign w:val="center"/>
            <w:hideMark/>
          </w:tcPr>
          <w:p w14:paraId="3CB2D101" w14:textId="77777777" w:rsidR="000D5B9F" w:rsidRDefault="000D5B9F">
            <w:pPr>
              <w:spacing w:after="0" w:line="240" w:lineRule="auto"/>
              <w:ind w:left="851" w:right="892"/>
              <w:jc w:val="both"/>
              <w:rPr>
                <w:rFonts w:ascii="Calibri" w:eastAsia="Times New Roman" w:hAnsi="Calibri" w:cs="Calibri"/>
                <w:b/>
                <w:bCs/>
                <w:color w:val="000000"/>
                <w:kern w:val="0"/>
                <w:sz w:val="28"/>
                <w:szCs w:val="28"/>
                <w:lang w:eastAsia="es-MX"/>
                <w14:ligatures w14:val="none"/>
              </w:rPr>
            </w:pPr>
            <w:r>
              <w:rPr>
                <w:rFonts w:ascii="Calibri" w:eastAsia="Times New Roman" w:hAnsi="Calibri" w:cs="Calibri"/>
                <w:b/>
                <w:bCs/>
                <w:color w:val="000000"/>
                <w:kern w:val="0"/>
                <w:sz w:val="28"/>
                <w:szCs w:val="28"/>
                <w:lang w:eastAsia="es-MX"/>
                <w14:ligatures w14:val="none"/>
              </w:rPr>
              <w:t>Incendio</w:t>
            </w:r>
          </w:p>
        </w:tc>
        <w:tc>
          <w:tcPr>
            <w:tcW w:w="1805" w:type="dxa"/>
            <w:tcBorders>
              <w:top w:val="single" w:sz="4" w:space="0" w:color="auto"/>
              <w:left w:val="single" w:sz="4" w:space="0" w:color="auto"/>
              <w:bottom w:val="single" w:sz="4" w:space="0" w:color="auto"/>
              <w:right w:val="single" w:sz="4" w:space="0" w:color="auto"/>
            </w:tcBorders>
            <w:shd w:val="clear" w:color="auto" w:fill="E7E6E6"/>
            <w:vAlign w:val="center"/>
            <w:hideMark/>
          </w:tcPr>
          <w:p w14:paraId="3308E45D" w14:textId="77777777" w:rsidR="000D5B9F" w:rsidRDefault="000D5B9F">
            <w:pPr>
              <w:spacing w:after="0" w:line="240" w:lineRule="auto"/>
              <w:ind w:left="851" w:right="892"/>
              <w:jc w:val="both"/>
              <w:rPr>
                <w:rFonts w:ascii="Calibri" w:eastAsia="Times New Roman" w:hAnsi="Calibri" w:cs="Calibri"/>
                <w:b/>
                <w:bCs/>
                <w:color w:val="000000"/>
                <w:kern w:val="0"/>
                <w:sz w:val="28"/>
                <w:szCs w:val="28"/>
                <w:lang w:eastAsia="es-MX"/>
                <w14:ligatures w14:val="none"/>
              </w:rPr>
            </w:pPr>
            <w:r>
              <w:rPr>
                <w:rFonts w:ascii="Calibri" w:eastAsia="Times New Roman" w:hAnsi="Calibri" w:cs="Calibri"/>
                <w:b/>
                <w:bCs/>
                <w:color w:val="000000"/>
                <w:kern w:val="0"/>
                <w:sz w:val="28"/>
                <w:szCs w:val="28"/>
                <w:lang w:eastAsia="es-MX"/>
                <w14:ligatures w14:val="none"/>
              </w:rPr>
              <w:t>Explosión</w:t>
            </w:r>
          </w:p>
        </w:tc>
        <w:tc>
          <w:tcPr>
            <w:tcW w:w="1797" w:type="dxa"/>
            <w:tcBorders>
              <w:top w:val="single" w:sz="4" w:space="0" w:color="auto"/>
              <w:left w:val="single" w:sz="4" w:space="0" w:color="auto"/>
              <w:bottom w:val="single" w:sz="4" w:space="0" w:color="auto"/>
              <w:right w:val="single" w:sz="4" w:space="0" w:color="auto"/>
            </w:tcBorders>
            <w:shd w:val="clear" w:color="auto" w:fill="E7E6E6"/>
            <w:vAlign w:val="center"/>
            <w:hideMark/>
          </w:tcPr>
          <w:p w14:paraId="772D84D2" w14:textId="77777777" w:rsidR="000D5B9F" w:rsidRDefault="000D5B9F">
            <w:pPr>
              <w:spacing w:after="0" w:line="240" w:lineRule="auto"/>
              <w:ind w:left="851" w:right="892"/>
              <w:jc w:val="both"/>
              <w:rPr>
                <w:rFonts w:ascii="Calibri" w:eastAsia="Times New Roman" w:hAnsi="Calibri" w:cs="Calibri"/>
                <w:b/>
                <w:bCs/>
                <w:color w:val="000000"/>
                <w:kern w:val="0"/>
                <w:sz w:val="28"/>
                <w:szCs w:val="28"/>
                <w:lang w:eastAsia="es-MX"/>
                <w14:ligatures w14:val="none"/>
              </w:rPr>
            </w:pPr>
            <w:r>
              <w:rPr>
                <w:rFonts w:ascii="Calibri" w:eastAsia="Times New Roman" w:hAnsi="Calibri" w:cs="Calibri"/>
                <w:b/>
                <w:bCs/>
                <w:color w:val="000000"/>
                <w:kern w:val="0"/>
                <w:sz w:val="28"/>
                <w:szCs w:val="28"/>
                <w:lang w:eastAsia="es-MX"/>
                <w14:ligatures w14:val="none"/>
              </w:rPr>
              <w:t>Toxicidad</w:t>
            </w:r>
          </w:p>
        </w:tc>
        <w:tc>
          <w:tcPr>
            <w:tcW w:w="1722" w:type="dxa"/>
            <w:tcBorders>
              <w:top w:val="single" w:sz="4" w:space="0" w:color="auto"/>
              <w:left w:val="single" w:sz="4" w:space="0" w:color="auto"/>
              <w:bottom w:val="single" w:sz="4" w:space="0" w:color="auto"/>
              <w:right w:val="single" w:sz="4" w:space="0" w:color="auto"/>
            </w:tcBorders>
            <w:shd w:val="clear" w:color="auto" w:fill="E7E6E6"/>
            <w:vAlign w:val="center"/>
            <w:hideMark/>
          </w:tcPr>
          <w:p w14:paraId="284D5F9B" w14:textId="77777777" w:rsidR="000D5B9F" w:rsidRDefault="000D5B9F">
            <w:pPr>
              <w:spacing w:after="0" w:line="240" w:lineRule="auto"/>
              <w:ind w:left="851" w:right="892"/>
              <w:jc w:val="both"/>
              <w:rPr>
                <w:rFonts w:ascii="Calibri" w:eastAsia="Times New Roman" w:hAnsi="Calibri" w:cs="Calibri"/>
                <w:b/>
                <w:bCs/>
                <w:color w:val="000000"/>
                <w:kern w:val="0"/>
                <w:sz w:val="28"/>
                <w:szCs w:val="28"/>
                <w:lang w:eastAsia="es-MX"/>
                <w14:ligatures w14:val="none"/>
              </w:rPr>
            </w:pPr>
            <w:r>
              <w:rPr>
                <w:rFonts w:ascii="Calibri" w:eastAsia="Times New Roman" w:hAnsi="Calibri" w:cs="Calibri"/>
                <w:b/>
                <w:bCs/>
                <w:color w:val="000000"/>
                <w:kern w:val="0"/>
                <w:sz w:val="28"/>
                <w:szCs w:val="28"/>
                <w:lang w:eastAsia="es-MX"/>
                <w14:ligatures w14:val="none"/>
              </w:rPr>
              <w:t>Incendio</w:t>
            </w:r>
          </w:p>
        </w:tc>
        <w:tc>
          <w:tcPr>
            <w:tcW w:w="1805" w:type="dxa"/>
            <w:tcBorders>
              <w:top w:val="single" w:sz="4" w:space="0" w:color="auto"/>
              <w:left w:val="single" w:sz="4" w:space="0" w:color="auto"/>
              <w:bottom w:val="single" w:sz="4" w:space="0" w:color="auto"/>
              <w:right w:val="single" w:sz="4" w:space="0" w:color="auto"/>
            </w:tcBorders>
            <w:shd w:val="clear" w:color="auto" w:fill="E7E6E6"/>
            <w:vAlign w:val="center"/>
            <w:hideMark/>
          </w:tcPr>
          <w:p w14:paraId="3B5985C4" w14:textId="77777777" w:rsidR="000D5B9F" w:rsidRDefault="000D5B9F">
            <w:pPr>
              <w:spacing w:after="0" w:line="240" w:lineRule="auto"/>
              <w:ind w:left="851" w:right="892"/>
              <w:jc w:val="both"/>
              <w:rPr>
                <w:rFonts w:ascii="Calibri" w:eastAsia="Times New Roman" w:hAnsi="Calibri" w:cs="Calibri"/>
                <w:b/>
                <w:bCs/>
                <w:color w:val="000000"/>
                <w:kern w:val="0"/>
                <w:sz w:val="28"/>
                <w:szCs w:val="28"/>
                <w:lang w:eastAsia="es-MX"/>
                <w14:ligatures w14:val="none"/>
              </w:rPr>
            </w:pPr>
            <w:r>
              <w:rPr>
                <w:rFonts w:ascii="Calibri" w:eastAsia="Times New Roman" w:hAnsi="Calibri" w:cs="Calibri"/>
                <w:b/>
                <w:bCs/>
                <w:color w:val="000000"/>
                <w:kern w:val="0"/>
                <w:sz w:val="28"/>
                <w:szCs w:val="28"/>
                <w:lang w:eastAsia="es-MX"/>
                <w14:ligatures w14:val="none"/>
              </w:rPr>
              <w:t>Explosión</w:t>
            </w:r>
          </w:p>
        </w:tc>
        <w:tc>
          <w:tcPr>
            <w:tcW w:w="1797" w:type="dxa"/>
            <w:tcBorders>
              <w:top w:val="single" w:sz="4" w:space="0" w:color="auto"/>
              <w:left w:val="single" w:sz="4" w:space="0" w:color="auto"/>
              <w:bottom w:val="single" w:sz="4" w:space="0" w:color="auto"/>
              <w:right w:val="single" w:sz="4" w:space="0" w:color="auto"/>
            </w:tcBorders>
            <w:shd w:val="clear" w:color="auto" w:fill="E7E6E6"/>
            <w:vAlign w:val="center"/>
            <w:hideMark/>
          </w:tcPr>
          <w:p w14:paraId="746D7C7A" w14:textId="77777777" w:rsidR="000D5B9F" w:rsidRDefault="000D5B9F">
            <w:pPr>
              <w:spacing w:after="0" w:line="240" w:lineRule="auto"/>
              <w:ind w:left="851" w:right="892"/>
              <w:jc w:val="both"/>
              <w:rPr>
                <w:rFonts w:ascii="Calibri" w:eastAsia="Times New Roman" w:hAnsi="Calibri" w:cs="Calibri"/>
                <w:b/>
                <w:bCs/>
                <w:color w:val="000000"/>
                <w:kern w:val="0"/>
                <w:sz w:val="28"/>
                <w:szCs w:val="28"/>
                <w:lang w:eastAsia="es-MX"/>
                <w14:ligatures w14:val="none"/>
              </w:rPr>
            </w:pPr>
            <w:r>
              <w:rPr>
                <w:rFonts w:ascii="Calibri" w:eastAsia="Times New Roman" w:hAnsi="Calibri" w:cs="Calibri"/>
                <w:b/>
                <w:bCs/>
                <w:color w:val="000000"/>
                <w:kern w:val="0"/>
                <w:sz w:val="28"/>
                <w:szCs w:val="28"/>
                <w:lang w:eastAsia="es-MX"/>
                <w14:ligatures w14:val="none"/>
              </w:rPr>
              <w:t>Toxicidad</w:t>
            </w:r>
          </w:p>
        </w:tc>
      </w:tr>
      <w:tr w:rsidR="009B1C1A" w14:paraId="6BF25EEB" w14:textId="77777777">
        <w:trPr>
          <w:trHeight w:val="452"/>
          <w:jc w:val="center"/>
        </w:trPr>
        <w:tc>
          <w:tcPr>
            <w:tcW w:w="1808" w:type="dxa"/>
            <w:tcBorders>
              <w:top w:val="single" w:sz="4" w:space="0" w:color="auto"/>
              <w:left w:val="single" w:sz="4" w:space="0" w:color="auto"/>
              <w:bottom w:val="single" w:sz="4" w:space="0" w:color="auto"/>
              <w:right w:val="single" w:sz="4" w:space="0" w:color="auto"/>
            </w:tcBorders>
            <w:vAlign w:val="center"/>
            <w:hideMark/>
          </w:tcPr>
          <w:p w14:paraId="5C2C3060" w14:textId="77777777" w:rsidR="000D5B9F" w:rsidRDefault="000D5B9F">
            <w:pPr>
              <w:spacing w:after="0" w:line="240" w:lineRule="auto"/>
              <w:ind w:left="851" w:right="892"/>
              <w:jc w:val="both"/>
              <w:rPr>
                <w:rFonts w:ascii="Calibri" w:eastAsia="Times New Roman" w:hAnsi="Calibri" w:cs="Calibri"/>
                <w:color w:val="000000"/>
                <w:kern w:val="0"/>
                <w:sz w:val="28"/>
                <w:szCs w:val="28"/>
                <w:lang w:eastAsia="es-MX"/>
                <w14:ligatures w14:val="none"/>
              </w:rPr>
            </w:pPr>
            <w:r>
              <w:rPr>
                <w:rFonts w:ascii="Calibri" w:eastAsia="Times New Roman" w:hAnsi="Calibri" w:cs="Calibri"/>
                <w:color w:val="000000"/>
                <w:kern w:val="0"/>
                <w:sz w:val="28"/>
                <w:szCs w:val="28"/>
                <w:lang w:eastAsia="es-MX"/>
                <w14:ligatures w14:val="none"/>
              </w:rPr>
              <w:t>Criterio</w:t>
            </w:r>
          </w:p>
        </w:tc>
        <w:tc>
          <w:tcPr>
            <w:tcW w:w="1722" w:type="dxa"/>
            <w:tcBorders>
              <w:top w:val="single" w:sz="4" w:space="0" w:color="auto"/>
              <w:left w:val="single" w:sz="4" w:space="0" w:color="auto"/>
              <w:bottom w:val="single" w:sz="4" w:space="0" w:color="auto"/>
              <w:right w:val="single" w:sz="4" w:space="0" w:color="auto"/>
            </w:tcBorders>
            <w:noWrap/>
            <w:vAlign w:val="bottom"/>
            <w:hideMark/>
          </w:tcPr>
          <w:p w14:paraId="2648B0FD" w14:textId="77777777" w:rsidR="000D5B9F" w:rsidRDefault="000D5B9F">
            <w:pPr>
              <w:spacing w:after="0" w:line="240" w:lineRule="auto"/>
              <w:ind w:left="851" w:right="892"/>
              <w:jc w:val="both"/>
              <w:rPr>
                <w:rFonts w:ascii="Calibri" w:eastAsia="Times New Roman" w:hAnsi="Calibri" w:cs="Calibri"/>
                <w:color w:val="000000"/>
                <w:kern w:val="0"/>
                <w:sz w:val="28"/>
                <w:szCs w:val="28"/>
                <w:lang w:eastAsia="es-MX"/>
                <w14:ligatures w14:val="none"/>
              </w:rPr>
            </w:pPr>
            <w:r>
              <w:rPr>
                <w:rFonts w:ascii="Calibri" w:eastAsia="Times New Roman" w:hAnsi="Calibri" w:cs="Calibri"/>
                <w:color w:val="000000"/>
                <w:kern w:val="0"/>
                <w:sz w:val="28"/>
                <w:szCs w:val="28"/>
                <w:lang w:eastAsia="es-MX"/>
                <w14:ligatures w14:val="none"/>
              </w:rPr>
              <w:t>5.0 Kw./m</w:t>
            </w:r>
            <w:r>
              <w:rPr>
                <w:rFonts w:ascii="Calibri" w:eastAsia="Times New Roman" w:hAnsi="Calibri" w:cs="Calibri"/>
                <w:color w:val="000000"/>
                <w:kern w:val="0"/>
                <w:sz w:val="28"/>
                <w:szCs w:val="28"/>
                <w:vertAlign w:val="superscript"/>
                <w:lang w:eastAsia="es-MX"/>
                <w14:ligatures w14:val="none"/>
              </w:rPr>
              <w:t>2</w:t>
            </w:r>
          </w:p>
        </w:tc>
        <w:tc>
          <w:tcPr>
            <w:tcW w:w="1805" w:type="dxa"/>
            <w:tcBorders>
              <w:top w:val="single" w:sz="4" w:space="0" w:color="auto"/>
              <w:left w:val="single" w:sz="4" w:space="0" w:color="auto"/>
              <w:bottom w:val="single" w:sz="4" w:space="0" w:color="auto"/>
              <w:right w:val="single" w:sz="4" w:space="0" w:color="auto"/>
            </w:tcBorders>
            <w:noWrap/>
            <w:vAlign w:val="bottom"/>
            <w:hideMark/>
          </w:tcPr>
          <w:p w14:paraId="4DBA92C8" w14:textId="77777777" w:rsidR="000D5B9F" w:rsidRDefault="000D5B9F">
            <w:pPr>
              <w:spacing w:after="0" w:line="240" w:lineRule="auto"/>
              <w:ind w:left="851" w:right="892"/>
              <w:jc w:val="both"/>
              <w:rPr>
                <w:rFonts w:ascii="Calibri" w:eastAsia="Times New Roman" w:hAnsi="Calibri" w:cs="Calibri"/>
                <w:color w:val="000000"/>
                <w:kern w:val="0"/>
                <w:sz w:val="28"/>
                <w:szCs w:val="28"/>
                <w:lang w:eastAsia="es-MX"/>
                <w14:ligatures w14:val="none"/>
              </w:rPr>
            </w:pPr>
            <w:r>
              <w:rPr>
                <w:rFonts w:ascii="Calibri" w:eastAsia="Times New Roman" w:hAnsi="Calibri" w:cs="Calibri"/>
                <w:color w:val="000000"/>
                <w:kern w:val="0"/>
                <w:sz w:val="28"/>
                <w:szCs w:val="28"/>
                <w:lang w:eastAsia="es-MX"/>
                <w14:ligatures w14:val="none"/>
              </w:rPr>
              <w:t>1.0 lb./in</w:t>
            </w:r>
            <w:r>
              <w:rPr>
                <w:rFonts w:ascii="Calibri" w:eastAsia="Times New Roman" w:hAnsi="Calibri" w:cs="Calibri"/>
                <w:color w:val="000000"/>
                <w:kern w:val="0"/>
                <w:sz w:val="28"/>
                <w:szCs w:val="28"/>
                <w:vertAlign w:val="superscript"/>
                <w:lang w:eastAsia="es-MX"/>
                <w14:ligatures w14:val="none"/>
              </w:rPr>
              <w:t>2</w:t>
            </w:r>
          </w:p>
        </w:tc>
        <w:tc>
          <w:tcPr>
            <w:tcW w:w="1797" w:type="dxa"/>
            <w:tcBorders>
              <w:top w:val="single" w:sz="4" w:space="0" w:color="auto"/>
              <w:left w:val="single" w:sz="4" w:space="0" w:color="auto"/>
              <w:bottom w:val="single" w:sz="4" w:space="0" w:color="auto"/>
              <w:right w:val="single" w:sz="4" w:space="0" w:color="auto"/>
            </w:tcBorders>
            <w:vAlign w:val="center"/>
            <w:hideMark/>
          </w:tcPr>
          <w:p w14:paraId="099DD754" w14:textId="77777777" w:rsidR="000D5B9F" w:rsidRDefault="000D5B9F">
            <w:pPr>
              <w:spacing w:after="0" w:line="240" w:lineRule="auto"/>
              <w:ind w:left="851" w:right="892"/>
              <w:jc w:val="both"/>
              <w:rPr>
                <w:rFonts w:ascii="Calibri" w:eastAsia="Times New Roman" w:hAnsi="Calibri" w:cs="Calibri"/>
                <w:color w:val="000000"/>
                <w:kern w:val="0"/>
                <w:sz w:val="28"/>
                <w:szCs w:val="28"/>
                <w:lang w:eastAsia="es-MX"/>
                <w14:ligatures w14:val="none"/>
              </w:rPr>
            </w:pPr>
            <w:r>
              <w:rPr>
                <w:rFonts w:ascii="Calibri" w:eastAsia="Times New Roman" w:hAnsi="Calibri" w:cs="Calibri"/>
                <w:color w:val="000000"/>
                <w:kern w:val="0"/>
                <w:sz w:val="28"/>
                <w:szCs w:val="28"/>
                <w:lang w:eastAsia="es-MX"/>
                <w14:ligatures w14:val="none"/>
              </w:rPr>
              <w:t>IDLH ppm</w:t>
            </w:r>
          </w:p>
        </w:tc>
        <w:tc>
          <w:tcPr>
            <w:tcW w:w="1722" w:type="dxa"/>
            <w:tcBorders>
              <w:top w:val="single" w:sz="4" w:space="0" w:color="auto"/>
              <w:left w:val="single" w:sz="4" w:space="0" w:color="auto"/>
              <w:bottom w:val="single" w:sz="4" w:space="0" w:color="auto"/>
              <w:right w:val="single" w:sz="4" w:space="0" w:color="auto"/>
            </w:tcBorders>
            <w:noWrap/>
            <w:vAlign w:val="bottom"/>
            <w:hideMark/>
          </w:tcPr>
          <w:p w14:paraId="075A6EBC" w14:textId="77777777" w:rsidR="000D5B9F" w:rsidRDefault="000D5B9F">
            <w:pPr>
              <w:spacing w:after="0" w:line="240" w:lineRule="auto"/>
              <w:ind w:left="851" w:right="892"/>
              <w:jc w:val="both"/>
              <w:rPr>
                <w:rFonts w:ascii="Calibri" w:eastAsia="Times New Roman" w:hAnsi="Calibri" w:cs="Calibri"/>
                <w:color w:val="000000"/>
                <w:kern w:val="0"/>
                <w:sz w:val="28"/>
                <w:szCs w:val="28"/>
                <w:lang w:eastAsia="es-MX"/>
                <w14:ligatures w14:val="none"/>
              </w:rPr>
            </w:pPr>
            <w:r>
              <w:rPr>
                <w:rFonts w:ascii="Calibri" w:eastAsia="Times New Roman" w:hAnsi="Calibri" w:cs="Calibri"/>
                <w:color w:val="000000"/>
                <w:kern w:val="0"/>
                <w:sz w:val="28"/>
                <w:szCs w:val="28"/>
                <w:lang w:eastAsia="es-MX"/>
                <w14:ligatures w14:val="none"/>
              </w:rPr>
              <w:t>1.4 Kw./m</w:t>
            </w:r>
            <w:r>
              <w:rPr>
                <w:rFonts w:ascii="Calibri" w:eastAsia="Times New Roman" w:hAnsi="Calibri" w:cs="Calibri"/>
                <w:color w:val="000000"/>
                <w:kern w:val="0"/>
                <w:sz w:val="28"/>
                <w:szCs w:val="28"/>
                <w:vertAlign w:val="superscript"/>
                <w:lang w:eastAsia="es-MX"/>
                <w14:ligatures w14:val="none"/>
              </w:rPr>
              <w:t>2</w:t>
            </w:r>
          </w:p>
        </w:tc>
        <w:tc>
          <w:tcPr>
            <w:tcW w:w="1805" w:type="dxa"/>
            <w:tcBorders>
              <w:top w:val="single" w:sz="4" w:space="0" w:color="auto"/>
              <w:left w:val="single" w:sz="4" w:space="0" w:color="auto"/>
              <w:bottom w:val="single" w:sz="4" w:space="0" w:color="auto"/>
              <w:right w:val="single" w:sz="4" w:space="0" w:color="auto"/>
            </w:tcBorders>
            <w:noWrap/>
            <w:vAlign w:val="bottom"/>
            <w:hideMark/>
          </w:tcPr>
          <w:p w14:paraId="3356E522" w14:textId="77777777" w:rsidR="000D5B9F" w:rsidRDefault="000D5B9F">
            <w:pPr>
              <w:spacing w:after="0" w:line="240" w:lineRule="auto"/>
              <w:ind w:left="851" w:right="892"/>
              <w:jc w:val="both"/>
              <w:rPr>
                <w:rFonts w:ascii="Calibri" w:eastAsia="Times New Roman" w:hAnsi="Calibri" w:cs="Calibri"/>
                <w:color w:val="000000"/>
                <w:kern w:val="0"/>
                <w:sz w:val="28"/>
                <w:szCs w:val="28"/>
                <w:lang w:eastAsia="es-MX"/>
                <w14:ligatures w14:val="none"/>
              </w:rPr>
            </w:pPr>
            <w:r>
              <w:rPr>
                <w:rFonts w:ascii="Calibri" w:eastAsia="Times New Roman" w:hAnsi="Calibri" w:cs="Calibri"/>
                <w:color w:val="000000"/>
                <w:kern w:val="0"/>
                <w:sz w:val="28"/>
                <w:szCs w:val="28"/>
                <w:lang w:eastAsia="es-MX"/>
                <w14:ligatures w14:val="none"/>
              </w:rPr>
              <w:t>0.5 lb./in</w:t>
            </w:r>
            <w:r>
              <w:rPr>
                <w:rFonts w:ascii="Calibri" w:eastAsia="Times New Roman" w:hAnsi="Calibri" w:cs="Calibri"/>
                <w:color w:val="000000"/>
                <w:kern w:val="0"/>
                <w:sz w:val="28"/>
                <w:szCs w:val="28"/>
                <w:vertAlign w:val="superscript"/>
                <w:lang w:eastAsia="es-MX"/>
                <w14:ligatures w14:val="none"/>
              </w:rPr>
              <w:t>2</w:t>
            </w:r>
          </w:p>
        </w:tc>
        <w:tc>
          <w:tcPr>
            <w:tcW w:w="1797" w:type="dxa"/>
            <w:tcBorders>
              <w:top w:val="single" w:sz="4" w:space="0" w:color="auto"/>
              <w:left w:val="single" w:sz="4" w:space="0" w:color="auto"/>
              <w:bottom w:val="single" w:sz="4" w:space="0" w:color="auto"/>
              <w:right w:val="single" w:sz="4" w:space="0" w:color="auto"/>
            </w:tcBorders>
            <w:vAlign w:val="center"/>
            <w:hideMark/>
          </w:tcPr>
          <w:p w14:paraId="27A12417" w14:textId="77777777" w:rsidR="000D5B9F" w:rsidRDefault="000D5B9F">
            <w:pPr>
              <w:spacing w:after="0" w:line="240" w:lineRule="auto"/>
              <w:ind w:left="851" w:right="892"/>
              <w:jc w:val="both"/>
              <w:rPr>
                <w:rFonts w:ascii="Calibri" w:eastAsia="Times New Roman" w:hAnsi="Calibri" w:cs="Calibri"/>
                <w:color w:val="000000"/>
                <w:kern w:val="0"/>
                <w:sz w:val="28"/>
                <w:szCs w:val="28"/>
                <w:lang w:eastAsia="es-MX"/>
                <w14:ligatures w14:val="none"/>
              </w:rPr>
            </w:pPr>
            <w:r>
              <w:rPr>
                <w:rFonts w:ascii="Calibri" w:eastAsia="Times New Roman" w:hAnsi="Calibri" w:cs="Calibri"/>
                <w:color w:val="000000"/>
                <w:kern w:val="0"/>
                <w:sz w:val="28"/>
                <w:szCs w:val="28"/>
                <w:lang w:eastAsia="es-MX"/>
                <w14:ligatures w14:val="none"/>
              </w:rPr>
              <w:t>TLV</w:t>
            </w:r>
            <w:r>
              <w:rPr>
                <w:rFonts w:ascii="Calibri" w:eastAsia="Times New Roman" w:hAnsi="Calibri" w:cs="Calibri"/>
                <w:color w:val="000000"/>
                <w:kern w:val="0"/>
                <w:sz w:val="28"/>
                <w:szCs w:val="28"/>
                <w:vertAlign w:val="subscript"/>
                <w:lang w:eastAsia="es-MX"/>
                <w14:ligatures w14:val="none"/>
              </w:rPr>
              <w:t>8</w:t>
            </w:r>
            <w:r>
              <w:rPr>
                <w:rFonts w:ascii="Calibri" w:eastAsia="Times New Roman" w:hAnsi="Calibri" w:cs="Calibri"/>
                <w:color w:val="000000"/>
                <w:kern w:val="0"/>
                <w:sz w:val="28"/>
                <w:szCs w:val="28"/>
                <w:lang w:eastAsia="es-MX"/>
                <w14:ligatures w14:val="none"/>
              </w:rPr>
              <w:t xml:space="preserve"> o TLV</w:t>
            </w:r>
            <w:r>
              <w:rPr>
                <w:rFonts w:ascii="Calibri" w:eastAsia="Times New Roman" w:hAnsi="Calibri" w:cs="Calibri"/>
                <w:color w:val="000000"/>
                <w:kern w:val="0"/>
                <w:sz w:val="28"/>
                <w:szCs w:val="28"/>
                <w:vertAlign w:val="subscript"/>
                <w:lang w:eastAsia="es-MX"/>
                <w14:ligatures w14:val="none"/>
              </w:rPr>
              <w:t>15</w:t>
            </w:r>
            <w:r>
              <w:rPr>
                <w:rFonts w:ascii="Calibri" w:eastAsia="Times New Roman" w:hAnsi="Calibri" w:cs="Calibri"/>
                <w:color w:val="000000"/>
                <w:kern w:val="0"/>
                <w:sz w:val="28"/>
                <w:szCs w:val="28"/>
                <w:lang w:eastAsia="es-MX"/>
                <w14:ligatures w14:val="none"/>
              </w:rPr>
              <w:t>.</w:t>
            </w:r>
          </w:p>
        </w:tc>
      </w:tr>
    </w:tbl>
    <w:p w14:paraId="4C305209" w14:textId="77777777" w:rsidR="000D5B9F" w:rsidRDefault="000D5B9F">
      <w:pPr>
        <w:ind w:left="851" w:right="892"/>
        <w:jc w:val="both"/>
        <w:rPr>
          <w:sz w:val="28"/>
          <w:szCs w:val="28"/>
        </w:rPr>
      </w:pPr>
    </w:p>
    <w:p w14:paraId="74C7F610" w14:textId="77777777" w:rsidR="000D5B9F" w:rsidRDefault="000D5B9F">
      <w:pPr>
        <w:ind w:left="851" w:right="892"/>
        <w:jc w:val="both"/>
        <w:rPr>
          <w:sz w:val="28"/>
          <w:szCs w:val="28"/>
        </w:rPr>
      </w:pPr>
    </w:p>
    <w:p w14:paraId="3637B900" w14:textId="77777777" w:rsidR="000D5B9F" w:rsidRDefault="000D5B9F">
      <w:pPr>
        <w:ind w:left="851" w:right="892"/>
        <w:jc w:val="both"/>
        <w:rPr>
          <w:sz w:val="28"/>
          <w:szCs w:val="28"/>
        </w:rPr>
      </w:pPr>
      <w:r>
        <w:rPr>
          <w:sz w:val="28"/>
          <w:szCs w:val="28"/>
        </w:rPr>
        <w:t>En cuanto a la Zona de Salvaguarda, esta se define como un área alrededor del proyecto o actividad, donde se establecen medidas de protección y restricciones en el uso de la tierra, el agua y el aire, para evitar o reducir los efectos negativos de los posibles riesgos ambientales. Esta se compone de la Zona de amortiguamiento y la zona de riesgo.</w:t>
      </w:r>
    </w:p>
    <w:p w14:paraId="12C11224" w14:textId="77777777" w:rsidR="000D5B9F" w:rsidRDefault="000D5B9F">
      <w:pPr>
        <w:ind w:left="851" w:right="892"/>
        <w:jc w:val="both"/>
        <w:rPr>
          <w:sz w:val="28"/>
          <w:szCs w:val="28"/>
        </w:rPr>
      </w:pPr>
      <w:r>
        <w:rPr>
          <w:sz w:val="28"/>
          <w:szCs w:val="28"/>
        </w:rPr>
        <w:t>La Zona de Amortiguamiento se define como el área contigua a la Zona de Riesgo, que puede incluir áreas naturales protegidas, áreas de importancia ecológica, zonas de recarga hídrica, zonas de agricultura, áreas urbanas y otros usos del suelo. Esta zona se caracteriza por tener medidas de protección menos restrictivas que la Zona de Riesgo, pero igualmente se establecen medidas de control y monitoreo para minimizar los impactos ambientales.</w:t>
      </w:r>
    </w:p>
    <w:p w14:paraId="13E19A17" w14:textId="77777777" w:rsidR="000D5B9F" w:rsidRDefault="000D5B9F">
      <w:pPr>
        <w:ind w:left="851" w:right="892"/>
        <w:jc w:val="both"/>
        <w:rPr>
          <w:sz w:val="28"/>
          <w:szCs w:val="28"/>
        </w:rPr>
      </w:pPr>
      <w:r>
        <w:rPr>
          <w:sz w:val="28"/>
          <w:szCs w:val="28"/>
        </w:rPr>
        <w:t>La Zona de Riesgo, por su parte, es el área más cercana al proyecto o actividad, donde se identifican los posibles riesgos ambientales que podrían ocurrir. Esta zona se caracteriza por tener medidas de protección más estrictas y restricciones en el uso del suelo, agua y aire para evitar o reducir los impactos negativos en el ambiente y la salud humana.</w:t>
      </w:r>
    </w:p>
    <w:p w14:paraId="50E121DF" w14:textId="77777777" w:rsidR="000D5B9F" w:rsidRDefault="000D5B9F">
      <w:pPr>
        <w:ind w:left="851" w:right="892"/>
        <w:jc w:val="both"/>
        <w:rPr>
          <w:sz w:val="28"/>
          <w:szCs w:val="28"/>
        </w:rPr>
      </w:pPr>
      <w:r>
        <w:rPr>
          <w:sz w:val="28"/>
          <w:szCs w:val="28"/>
        </w:rPr>
        <w:t>Es importante destacar que la delimitación y gestión adecuada de la Zona de Salvaguarda es esencial para garantizar la protección ambiental y minimizar los riesgos asociados a proyectos o actividades que puedan tener impacto en el medio ambiente. Por esta razón, es necesario que las autoridades competentes establezcan normativas y lineamientos claros para su definición y manejo.</w:t>
      </w:r>
    </w:p>
    <w:p w14:paraId="67DD46B8" w14:textId="77777777" w:rsidR="000D5B9F" w:rsidRDefault="000D5B9F">
      <w:pPr>
        <w:jc w:val="both"/>
      </w:pPr>
    </w:p>
    <w:p w14:paraId="2EEEF176" w14:textId="77777777" w:rsidR="000D5B9F" w:rsidRDefault="000D5B9F">
      <w:pPr>
        <w:jc w:val="both"/>
      </w:pPr>
    </w:p>
    <w:p w14:paraId="1FB215EF" w14:textId="77777777" w:rsidR="000D5B9F" w:rsidRDefault="000D5B9F">
      <w:pPr>
        <w:jc w:val="both"/>
      </w:pPr>
    </w:p>
    <w:sectPr w:rsidR="000D5B9F" w:rsidSect="00434E32">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defaultTabStop w:val="708"/>
  <w:hyphenationZone w:val="4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E32"/>
    <w:rsid w:val="000875AA"/>
    <w:rsid w:val="000D5B9F"/>
    <w:rsid w:val="00434E32"/>
    <w:rsid w:val="006D1EC6"/>
    <w:rsid w:val="009B1C1A"/>
    <w:rsid w:val="00AA1A5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527A38"/>
  <w15:chartTrackingRefBased/>
  <w15:docId w15:val="{1BDE985C-F798-4E85-BFF0-46E6425BA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es-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6" w:lineRule="auto"/>
    </w:pPr>
    <w:rPr>
      <w:kern w:val="2"/>
      <w:sz w:val="22"/>
      <w:szCs w:val="22"/>
      <w14:ligatures w14:val="standardContextual"/>
    </w:rPr>
  </w:style>
  <w:style w:type="paragraph" w:styleId="Ttulo1">
    <w:name w:val="heading 1"/>
    <w:basedOn w:val="Normal"/>
    <w:link w:val="Ttulo1Car"/>
    <w:uiPriority w:val="9"/>
    <w:qFormat/>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locked/>
    <w:rPr>
      <w:rFonts w:ascii="Times New Roman" w:eastAsia="Times New Roman" w:hAnsi="Times New Roman" w:cs="Times New Roman" w:hint="default"/>
      <w:b/>
      <w:bCs/>
      <w:kern w:val="36"/>
      <w:sz w:val="48"/>
      <w:szCs w:val="48"/>
      <w:lang w:eastAsia="es-MX"/>
      <w14:ligatures w14:val="none"/>
    </w:rPr>
  </w:style>
  <w:style w:type="paragraph" w:customStyle="1" w:styleId="msonormal0">
    <w:name w:val="msonormal"/>
    <w:basedOn w:val="Normal"/>
    <w:pPr>
      <w:spacing w:before="100" w:beforeAutospacing="1" w:after="100" w:afterAutospacing="1" w:line="240" w:lineRule="auto"/>
    </w:pPr>
    <w:rPr>
      <w:rFonts w:ascii="Times New Roman" w:eastAsiaTheme="minorEastAsia" w:hAnsi="Times New Roman" w:cs="Times New Roman"/>
      <w:kern w:val="0"/>
      <w:sz w:val="24"/>
      <w:szCs w:val="24"/>
      <w:lang w:eastAsia="es-MX"/>
      <w14:ligatures w14:val="none"/>
    </w:rPr>
  </w:style>
  <w:style w:type="paragraph" w:styleId="Prrafodelista">
    <w:name w:val="List Paragraph"/>
    <w:basedOn w:val="Normal"/>
    <w:uiPriority w:val="34"/>
    <w:qFormat/>
    <w:pPr>
      <w:ind w:left="720"/>
      <w:contextualSpacing/>
    </w:pPr>
  </w:style>
  <w:style w:type="table" w:styleId="Tablaconcuadrcula">
    <w:name w:val="Table Grid"/>
    <w:basedOn w:val="Tablanormal"/>
    <w:uiPriority w:val="39"/>
    <w:rPr>
      <w:kern w:val="2"/>
      <w:sz w:val="22"/>
      <w:szCs w:val="22"/>
      <w14:ligatures w14:val="standardContextua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1148</Words>
  <Characters>6101</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SAMMYS MANUEL GOROCICA EMBRIZ</dc:creator>
  <cp:keywords/>
  <dc:description/>
  <cp:lastModifiedBy>SAMMYS MANUEL GOROCICA EMBRIZ</cp:lastModifiedBy>
  <cp:revision>4</cp:revision>
  <dcterms:created xsi:type="dcterms:W3CDTF">2024-03-27T03:12:00Z</dcterms:created>
  <dcterms:modified xsi:type="dcterms:W3CDTF">2024-03-27T04:57:00Z</dcterms:modified>
</cp:coreProperties>
</file>