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Mon Jul 28 2025 00:00:00 GMT+0800 (中国标准时间) 至 Sun Aug 03 2025 00:00:00 GMT+0800 (中国标准时间)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2025-07-31T11:27:21.091Z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**报告撰写人**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营销复盘系统分析师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2025-07-28 至 2025-08-03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2025-08-04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- 成功推进项目回款事宜，获得领导支持意愿；</w:t>
      </w:r>
    </w:p>
    <w:p>
      <w:pPr>
        <w:spacing w:after="200"/>
        <w:jc w:val="both"/>
      </w:pPr>
      <w:r>
        <w:t xml:space="preserve">- 完成项目推介会并实现现场签约，取得实质性成果；</w:t>
      </w:r>
    </w:p>
    <w:p>
      <w:pPr>
        <w:spacing w:after="200"/>
        <w:jc w:val="both"/>
      </w:pPr>
      <w:r>
        <w:t xml:space="preserve">- 与客户及投资方建立良好互动关系，客户满意度高；</w:t>
      </w:r>
    </w:p>
    <w:p>
      <w:pPr>
        <w:spacing w:after="200"/>
        <w:jc w:val="both"/>
      </w:pPr>
      <w:r>
        <w:t xml:space="preserve">- 有效维护重要客户关系，晚间接待获得积极反馈；</w:t>
      </w:r>
    </w:p>
    <w:p>
      <w:pPr>
        <w:spacing w:after="200"/>
        <w:jc w:val="both"/>
      </w:pPr>
      <w:r>
        <w:t xml:space="preserve">- 项目合作初步达成共识，为后续推进奠定基础。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会见领导，推进项目回款事宜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领导有意愿帮忙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接待领导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客户关系进一步深化，沟通效果良好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出差外地，会见投资方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没见到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拜访客户，沟通项目推进事宜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会见投资方，讨论项目合作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初步确定合作方案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投资方很满意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参加项目推介会并签约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全部完成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接待重要客户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大家都很开心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任务目标达成，效果显著，为后续合作奠定基础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客户接触频次较高，重点客户均有面对面沟通；</w:t>
      </w:r>
    </w:p>
    <w:p>
      <w:pPr>
        <w:spacing w:after="200"/>
        <w:jc w:val="both"/>
      </w:pPr>
      <w:r>
        <w:t xml:space="preserve">- 满意度整体良好，客户及投资方反馈积极；</w:t>
      </w:r>
    </w:p>
    <w:p>
      <w:pPr>
        <w:spacing w:after="200"/>
        <w:jc w:val="both"/>
      </w:pPr>
      <w:r>
        <w:t xml:space="preserve">- 通过白天拜访与晚间接待双轨并行，增强信任与粘性；</w:t>
      </w:r>
    </w:p>
    <w:p>
      <w:pPr>
        <w:spacing w:after="200"/>
        <w:jc w:val="both"/>
      </w:pPr>
      <w:r>
        <w:t xml:space="preserve">- 重要客户关系持续升温，为后续合作提供支持基础。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项目回款推进取得关键进展，领导层表达支持意向；</w:t>
      </w:r>
    </w:p>
    <w:p>
      <w:pPr>
        <w:spacing w:after="200"/>
        <w:jc w:val="both"/>
      </w:pPr>
      <w:r>
        <w:t xml:space="preserve">- 项目合作方案通过面对面沟通初步达成一致；</w:t>
      </w:r>
    </w:p>
    <w:p>
      <w:pPr>
        <w:spacing w:after="200"/>
        <w:jc w:val="both"/>
      </w:pPr>
      <w:r>
        <w:t xml:space="preserve">- 项目签约落地，体现前期准备充分、策略精准；</w:t>
      </w:r>
    </w:p>
    <w:p>
      <w:pPr>
        <w:spacing w:after="200"/>
        <w:jc w:val="both"/>
      </w:pPr>
      <w:r>
        <w:t xml:space="preserve">- 项目资金筹备与补充协议对接需尽快跟进，确保执行闭环。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**2**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**3**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需要领导协调：1. 项目回款事宜的最终决策；2. 重要项目的投资审批流程。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- 需财务部门配合收款任务分派与跟踪机制建立；</w:t>
      </w:r>
    </w:p>
    <w:p>
      <w:pPr>
        <w:spacing w:after="200"/>
        <w:jc w:val="both"/>
      </w:pPr>
      <w:r>
        <w:t xml:space="preserve">- 需法务部门协助补充协议审核与签署流程；</w:t>
      </w:r>
    </w:p>
    <w:p>
      <w:pPr>
        <w:spacing w:after="200"/>
        <w:jc w:val="both"/>
      </w:pPr>
      <w:r>
        <w:t xml:space="preserve">- 需项目管理部协同制定项目实施时间表与资金计划；</w:t>
      </w:r>
    </w:p>
    <w:p>
      <w:pPr>
        <w:spacing w:after="200"/>
        <w:jc w:val="both"/>
      </w:pPr>
      <w:r>
        <w:t xml:space="preserve">- 需市场部支持合作伙伴参观接待与产品推介材料准备。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- 加强与投资方沟通前的预约与行程确认机制，避免失约；</w:t>
      </w:r>
    </w:p>
    <w:p>
      <w:pPr>
        <w:spacing w:after="200"/>
        <w:jc w:val="both"/>
      </w:pPr>
      <w:r>
        <w:t xml:space="preserve">- 提升项目回款推进中的谈判技巧与政策依据支撑能力；</w:t>
      </w:r>
    </w:p>
    <w:p>
      <w:pPr>
        <w:spacing w:after="200"/>
        <w:jc w:val="both"/>
      </w:pPr>
      <w:r>
        <w:t xml:space="preserve">- 增强在推介会等大型活动中的统筹协调与现场应变能力；</w:t>
      </w:r>
    </w:p>
    <w:p>
      <w:pPr>
        <w:spacing w:after="200"/>
        <w:jc w:val="both"/>
      </w:pPr>
      <w:r>
        <w:t xml:space="preserve">- 优化晚间接待的流程设计，提升客户体验一致性。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建立每日收款任务跟踪台账，确保责任到人；</w:t>
      </w:r>
    </w:p>
    <w:p>
      <w:pPr>
        <w:spacing w:after="200"/>
        <w:jc w:val="both"/>
      </w:pPr>
      <w:r>
        <w:t xml:space="preserve">- 推行新复盘方式，明确每日动作与结果记录标准；</w:t>
      </w:r>
    </w:p>
    <w:p>
      <w:pPr>
        <w:spacing w:after="200"/>
        <w:jc w:val="both"/>
      </w:pPr>
      <w:r>
        <w:t xml:space="preserve">- 提前规划出差行程，设置备选方案应对会面失败；</w:t>
      </w:r>
    </w:p>
    <w:p>
      <w:pPr>
        <w:spacing w:after="200"/>
        <w:jc w:val="both"/>
      </w:pPr>
      <w:r>
        <w:t xml:space="preserve">- 引入客户拜访前评估机制，提升拜访有效性。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建立客户信息共享机制，确保关键节点信息同步；</w:t>
      </w:r>
    </w:p>
    <w:p>
      <w:pPr>
        <w:spacing w:after="200"/>
        <w:jc w:val="both"/>
      </w:pPr>
      <w:r>
        <w:t xml:space="preserve">- 搭建跨部门协作沟通群组，提升响应效率；</w:t>
      </w:r>
    </w:p>
    <w:p>
      <w:pPr>
        <w:spacing w:after="200"/>
        <w:jc w:val="both"/>
      </w:pPr>
      <w:r>
        <w:t xml:space="preserve">- 定期召开项目推进会，推动关键事项闭环；</w:t>
      </w:r>
    </w:p>
    <w:p>
      <w:pPr>
        <w:spacing w:after="200"/>
        <w:jc w:val="both"/>
      </w:pPr>
      <w:r>
        <w:t xml:space="preserve">- 明确分工与责任边界，提升协同执行力。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六、总结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聚焦于项目回款推进与合作项目落地，整体行动节奏紧凑，成果显著。项目签约与客户接待均取得良好反馈，客户关系持续深化。但出差会面未达成目标，需优化时间安排与前期准备。后续需尽快落实收款责任机制，严格执行新复盘方式，加强与客户及投资方的协同推进，确保项目按计划实施。同时，需积极争取领导支持，加快关键事项审批流程，为全年项目落地提供保障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**被复盘人**：熊维豪</w:t>
      </w:r>
    </w:p>
    <w:p>
      <w:pPr>
        <w:spacing w:after="200"/>
        <w:jc w:val="both"/>
      </w:pPr>
      <w:r>
        <w:t xml:space="preserve">**报告生成时间**：2025-08-04</w:t>
      </w:r>
    </w:p>
    <w:p>
      <w:pPr>
        <w:spacing w:after="200"/>
        <w:jc w:val="both"/>
      </w:pPr>
      <w:r>
        <w:t xml:space="preserve">© 2025 营销中心周复盘系统## 🤝 需协调事项</w:t>
      </w:r>
    </w:p>
    <w:p>
      <w:pPr>
        <w:spacing w:after="200"/>
      </w:pPr>
    </w:p>
    <w:p>
      <w:pPr>
        <w:spacing w:after="200"/>
        <w:jc w:val="both"/>
      </w:pPr>
      <w:r>
        <w:t xml:space="preserve">需要领导协调：1. 项目回款事宜的最终决策；2. 重要项目的投资审批流程。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其他事项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本周工作重点：推进回款工作，加强与各投资方的沟通合作。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**报告撰写人**：营销复盘系统分析师</w:t>
      </w:r>
    </w:p>
    <w:p>
      <w:pPr>
        <w:spacing w:after="200"/>
        <w:jc w:val="both"/>
      </w:pPr>
      <w:r>
        <w:t xml:space="preserve">**报告生成时间**：2025-07-31T11:27:21.091Z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2025-07-31T11:27:21.099Z</dcterms:created>
  <dcterms:modified xsi:type="dcterms:W3CDTF">2025-07-31T11:27:21.099Z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