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E6197" w14:textId="7C271580" w:rsidR="000C0B95" w:rsidRDefault="006A1CF6">
      <w:r>
        <w:t>Unit 2 Seminar</w:t>
      </w:r>
      <w:r w:rsidR="00B3182F">
        <w:t xml:space="preserve"> Preparation</w:t>
      </w:r>
    </w:p>
    <w:p w14:paraId="56A32FDF" w14:textId="77777777" w:rsidR="007E2081" w:rsidRDefault="007E2081"/>
    <w:p w14:paraId="3FE48550" w14:textId="1504E02E" w:rsidR="006A1CF6" w:rsidRDefault="006A1CF6">
      <w:r>
        <w:t>Question 1:</w:t>
      </w:r>
    </w:p>
    <w:tbl>
      <w:tblPr>
        <w:tblStyle w:val="TableGrid"/>
        <w:tblW w:w="9634" w:type="dxa"/>
        <w:tblLook w:val="04A0" w:firstRow="1" w:lastRow="0" w:firstColumn="1" w:lastColumn="0" w:noHBand="0" w:noVBand="1"/>
      </w:tblPr>
      <w:tblGrid>
        <w:gridCol w:w="2830"/>
        <w:gridCol w:w="6804"/>
      </w:tblGrid>
      <w:tr w:rsidR="006A1CF6" w14:paraId="5EFFE6CC" w14:textId="77777777" w:rsidTr="006218CC">
        <w:tc>
          <w:tcPr>
            <w:tcW w:w="2830" w:type="dxa"/>
          </w:tcPr>
          <w:p w14:paraId="28CB9239" w14:textId="6D288C2B" w:rsidR="006A1CF6" w:rsidRDefault="006A1CF6">
            <w:r>
              <w:t>Scrum Stage</w:t>
            </w:r>
          </w:p>
        </w:tc>
        <w:tc>
          <w:tcPr>
            <w:tcW w:w="6804" w:type="dxa"/>
          </w:tcPr>
          <w:p w14:paraId="24B56C13" w14:textId="2FD913F3" w:rsidR="006A1CF6" w:rsidRDefault="006A1CF6">
            <w:r>
              <w:t>How to increase security</w:t>
            </w:r>
          </w:p>
        </w:tc>
      </w:tr>
      <w:tr w:rsidR="006A1CF6" w14:paraId="74B21FD1" w14:textId="77777777" w:rsidTr="006218CC">
        <w:tc>
          <w:tcPr>
            <w:tcW w:w="2830" w:type="dxa"/>
          </w:tcPr>
          <w:p w14:paraId="1A460E68" w14:textId="17E06727" w:rsidR="006A1CF6" w:rsidRDefault="006A1CF6">
            <w:r>
              <w:t>Initiation</w:t>
            </w:r>
          </w:p>
        </w:tc>
        <w:tc>
          <w:tcPr>
            <w:tcW w:w="6804" w:type="dxa"/>
          </w:tcPr>
          <w:p w14:paraId="327C06BF" w14:textId="77777777" w:rsidR="006218CC" w:rsidRDefault="00417D32" w:rsidP="006218CC">
            <w:pPr>
              <w:pStyle w:val="ListParagraph"/>
              <w:numPr>
                <w:ilvl w:val="0"/>
                <w:numId w:val="6"/>
              </w:numPr>
            </w:pPr>
            <w:r>
              <w:t>Educate stakeholders and developers on security concepts, types of security breaches and how to mitigate security risks</w:t>
            </w:r>
            <w:r w:rsidR="007B6143">
              <w:t xml:space="preserve"> </w:t>
            </w:r>
          </w:p>
          <w:p w14:paraId="0CA36DA6" w14:textId="184666FA" w:rsidR="006A1CF6" w:rsidRDefault="006218CC" w:rsidP="006218CC">
            <w:pPr>
              <w:pStyle w:val="ListParagraph"/>
              <w:numPr>
                <w:ilvl w:val="0"/>
                <w:numId w:val="6"/>
              </w:numPr>
            </w:pPr>
            <w:r>
              <w:t>H</w:t>
            </w:r>
            <w:r w:rsidR="007B6143" w:rsidRPr="007B6143">
              <w:t xml:space="preserve">ire </w:t>
            </w:r>
            <w:r w:rsidR="007B6143">
              <w:t>s</w:t>
            </w:r>
            <w:r w:rsidR="007B6143" w:rsidRPr="007B6143">
              <w:t>ecurity experts</w:t>
            </w:r>
            <w:r w:rsidR="007B6143">
              <w:t>.</w:t>
            </w:r>
          </w:p>
        </w:tc>
      </w:tr>
      <w:tr w:rsidR="006A1CF6" w14:paraId="5EED085F" w14:textId="77777777" w:rsidTr="006218CC">
        <w:tc>
          <w:tcPr>
            <w:tcW w:w="2830" w:type="dxa"/>
          </w:tcPr>
          <w:p w14:paraId="707B7CB3" w14:textId="03075112" w:rsidR="006A1CF6" w:rsidRDefault="006A1CF6">
            <w:r>
              <w:t>Planning and estimation</w:t>
            </w:r>
          </w:p>
        </w:tc>
        <w:tc>
          <w:tcPr>
            <w:tcW w:w="6804" w:type="dxa"/>
          </w:tcPr>
          <w:p w14:paraId="23DEA316" w14:textId="77777777" w:rsidR="00417D32" w:rsidRDefault="00417D32" w:rsidP="00417D32">
            <w:pPr>
              <w:pStyle w:val="ListParagraph"/>
              <w:numPr>
                <w:ilvl w:val="0"/>
                <w:numId w:val="1"/>
              </w:numPr>
            </w:pPr>
            <w:r>
              <w:t>Add S-Tags to user stories in the backlog</w:t>
            </w:r>
          </w:p>
          <w:p w14:paraId="0935C0A2" w14:textId="594FD063" w:rsidR="00417D32" w:rsidRDefault="00417D32" w:rsidP="00417D32">
            <w:pPr>
              <w:pStyle w:val="ListParagraph"/>
              <w:numPr>
                <w:ilvl w:val="0"/>
                <w:numId w:val="1"/>
              </w:numPr>
            </w:pPr>
            <w:r>
              <w:t>Use OWASP ASVS to create security stories</w:t>
            </w:r>
          </w:p>
          <w:p w14:paraId="69DF5BC8" w14:textId="77777777" w:rsidR="00417D32" w:rsidRDefault="00417D32" w:rsidP="00417D32">
            <w:pPr>
              <w:pStyle w:val="ListParagraph"/>
              <w:numPr>
                <w:ilvl w:val="0"/>
                <w:numId w:val="1"/>
              </w:numPr>
            </w:pPr>
            <w:r>
              <w:t>Assign security related tasks to developers</w:t>
            </w:r>
          </w:p>
          <w:p w14:paraId="52ABF11E" w14:textId="77777777" w:rsidR="007B6143" w:rsidRDefault="007B6143" w:rsidP="00417D32">
            <w:pPr>
              <w:pStyle w:val="ListParagraph"/>
              <w:numPr>
                <w:ilvl w:val="0"/>
                <w:numId w:val="1"/>
              </w:numPr>
            </w:pPr>
            <w:r>
              <w:t>Create threat model</w:t>
            </w:r>
          </w:p>
          <w:p w14:paraId="41A91F79" w14:textId="6893CEC5" w:rsidR="007B6143" w:rsidRDefault="007B6143" w:rsidP="00417D32">
            <w:pPr>
              <w:pStyle w:val="ListParagraph"/>
              <w:numPr>
                <w:ilvl w:val="0"/>
                <w:numId w:val="1"/>
              </w:numPr>
            </w:pPr>
            <w:r>
              <w:t xml:space="preserve">Perform </w:t>
            </w:r>
            <w:r w:rsidR="00F44DFD">
              <w:t>r</w:t>
            </w:r>
            <w:r>
              <w:t xml:space="preserve">isk </w:t>
            </w:r>
            <w:r w:rsidR="00F44DFD">
              <w:t>a</w:t>
            </w:r>
            <w:r>
              <w:t xml:space="preserve">nalysis </w:t>
            </w:r>
          </w:p>
          <w:p w14:paraId="458CC384" w14:textId="77777777" w:rsidR="007B6143" w:rsidRDefault="007B6143" w:rsidP="00417D32">
            <w:pPr>
              <w:pStyle w:val="ListParagraph"/>
              <w:numPr>
                <w:ilvl w:val="0"/>
                <w:numId w:val="1"/>
              </w:numPr>
            </w:pPr>
            <w:r w:rsidRPr="007B6143">
              <w:t>Change definition of done to include security requirements being met</w:t>
            </w:r>
          </w:p>
          <w:p w14:paraId="4E3D8A51" w14:textId="77777777" w:rsidR="007B6143" w:rsidRDefault="007B6143" w:rsidP="00417D32">
            <w:pPr>
              <w:pStyle w:val="ListParagraph"/>
              <w:numPr>
                <w:ilvl w:val="0"/>
                <w:numId w:val="1"/>
              </w:numPr>
            </w:pPr>
            <w:r>
              <w:t xml:space="preserve">Create </w:t>
            </w:r>
            <w:r w:rsidR="006218CC">
              <w:t xml:space="preserve">detailed UML diagrams </w:t>
            </w:r>
          </w:p>
          <w:p w14:paraId="54E9C4C6" w14:textId="77777777" w:rsidR="006218CC" w:rsidRDefault="006218CC" w:rsidP="00417D32">
            <w:pPr>
              <w:pStyle w:val="ListParagraph"/>
              <w:numPr>
                <w:ilvl w:val="0"/>
                <w:numId w:val="1"/>
              </w:numPr>
            </w:pPr>
            <w:r>
              <w:t xml:space="preserve">Define project and security requirements </w:t>
            </w:r>
          </w:p>
          <w:p w14:paraId="2093810D" w14:textId="77777777" w:rsidR="006218CC" w:rsidRDefault="006218CC" w:rsidP="006218CC">
            <w:pPr>
              <w:pStyle w:val="ListParagraph"/>
              <w:numPr>
                <w:ilvl w:val="0"/>
                <w:numId w:val="1"/>
              </w:numPr>
            </w:pPr>
            <w:r>
              <w:t xml:space="preserve">Add acceptance criteria to user stories </w:t>
            </w:r>
          </w:p>
          <w:p w14:paraId="4C90150B" w14:textId="77777777" w:rsidR="006218CC" w:rsidRDefault="006218CC" w:rsidP="006218CC">
            <w:pPr>
              <w:pStyle w:val="ListParagraph"/>
              <w:numPr>
                <w:ilvl w:val="0"/>
                <w:numId w:val="1"/>
              </w:numPr>
            </w:pPr>
            <w:r>
              <w:t xml:space="preserve">Create role matrix </w:t>
            </w:r>
          </w:p>
          <w:p w14:paraId="646F9D96" w14:textId="77777777" w:rsidR="006218CC" w:rsidRDefault="006218CC" w:rsidP="006218CC">
            <w:pPr>
              <w:pStyle w:val="ListParagraph"/>
              <w:numPr>
                <w:ilvl w:val="0"/>
                <w:numId w:val="1"/>
              </w:numPr>
            </w:pPr>
            <w:r>
              <w:t xml:space="preserve">Identify resources and trust boundaries </w:t>
            </w:r>
          </w:p>
          <w:p w14:paraId="4C6BCEE5" w14:textId="5E4BE4FC" w:rsidR="007A48F9" w:rsidRDefault="007A48F9" w:rsidP="006218CC">
            <w:pPr>
              <w:pStyle w:val="ListParagraph"/>
              <w:numPr>
                <w:ilvl w:val="0"/>
                <w:numId w:val="1"/>
              </w:numPr>
            </w:pPr>
            <w:r>
              <w:t>Spring planning</w:t>
            </w:r>
          </w:p>
        </w:tc>
      </w:tr>
      <w:tr w:rsidR="006A1CF6" w14:paraId="566B34A0" w14:textId="77777777" w:rsidTr="006218CC">
        <w:tc>
          <w:tcPr>
            <w:tcW w:w="2830" w:type="dxa"/>
          </w:tcPr>
          <w:p w14:paraId="466714E7" w14:textId="17986EF4" w:rsidR="006A1CF6" w:rsidRDefault="006A1CF6">
            <w:r>
              <w:t>Implementation</w:t>
            </w:r>
          </w:p>
        </w:tc>
        <w:tc>
          <w:tcPr>
            <w:tcW w:w="6804" w:type="dxa"/>
          </w:tcPr>
          <w:p w14:paraId="12C2166B" w14:textId="77777777" w:rsidR="00417D32" w:rsidRDefault="00417D32" w:rsidP="00417D32">
            <w:pPr>
              <w:pStyle w:val="ListParagraph"/>
              <w:numPr>
                <w:ilvl w:val="0"/>
                <w:numId w:val="2"/>
              </w:numPr>
              <w:spacing w:after="160" w:line="259" w:lineRule="auto"/>
            </w:pPr>
            <w:r>
              <w:t xml:space="preserve">Perform static code analysis </w:t>
            </w:r>
          </w:p>
          <w:p w14:paraId="523E6E92" w14:textId="42E3733F" w:rsidR="00417D32" w:rsidRDefault="007E2081" w:rsidP="007E2081">
            <w:pPr>
              <w:pStyle w:val="ListParagraph"/>
              <w:numPr>
                <w:ilvl w:val="0"/>
                <w:numId w:val="2"/>
              </w:numPr>
              <w:spacing w:after="160" w:line="259" w:lineRule="auto"/>
            </w:pPr>
            <w:r>
              <w:t>Perform p</w:t>
            </w:r>
            <w:r w:rsidR="00417D32">
              <w:t xml:space="preserve">en </w:t>
            </w:r>
            <w:r>
              <w:t>t</w:t>
            </w:r>
            <w:r w:rsidR="00417D32">
              <w:t>esting</w:t>
            </w:r>
            <w:r>
              <w:t>, a</w:t>
            </w:r>
            <w:r w:rsidR="00417D32">
              <w:t xml:space="preserve">utomation </w:t>
            </w:r>
            <w:r>
              <w:t>t</w:t>
            </w:r>
            <w:r w:rsidR="00417D32">
              <w:t>esting</w:t>
            </w:r>
            <w:r>
              <w:t>, u</w:t>
            </w:r>
            <w:r w:rsidR="00417D32">
              <w:t xml:space="preserve">nit </w:t>
            </w:r>
            <w:r>
              <w:t>t</w:t>
            </w:r>
            <w:r w:rsidR="00417D32">
              <w:t>est</w:t>
            </w:r>
            <w:r>
              <w:t xml:space="preserve">ing, acceptance testing, security testing, black box testing and white box testing </w:t>
            </w:r>
          </w:p>
          <w:p w14:paraId="1A02CF53" w14:textId="362CE9DC" w:rsidR="007B6143" w:rsidRDefault="00417D32" w:rsidP="007E2081">
            <w:pPr>
              <w:pStyle w:val="ListParagraph"/>
              <w:numPr>
                <w:ilvl w:val="0"/>
                <w:numId w:val="2"/>
              </w:numPr>
              <w:spacing w:after="160" w:line="259" w:lineRule="auto"/>
            </w:pPr>
            <w:r>
              <w:t xml:space="preserve">Pair </w:t>
            </w:r>
            <w:r w:rsidR="00F44DFD">
              <w:t>p</w:t>
            </w:r>
            <w:r>
              <w:t xml:space="preserve">rogramming </w:t>
            </w:r>
          </w:p>
          <w:p w14:paraId="4D790F5E" w14:textId="77777777" w:rsidR="007B6143" w:rsidRDefault="007B6143" w:rsidP="00417D32">
            <w:pPr>
              <w:pStyle w:val="ListParagraph"/>
              <w:numPr>
                <w:ilvl w:val="0"/>
                <w:numId w:val="2"/>
              </w:numPr>
              <w:spacing w:after="160" w:line="259" w:lineRule="auto"/>
            </w:pPr>
            <w:r>
              <w:t xml:space="preserve">Use code linters </w:t>
            </w:r>
          </w:p>
          <w:p w14:paraId="75A29B1E" w14:textId="77777777" w:rsidR="007B6143" w:rsidRDefault="007B6143" w:rsidP="00417D32">
            <w:pPr>
              <w:pStyle w:val="ListParagraph"/>
              <w:numPr>
                <w:ilvl w:val="0"/>
                <w:numId w:val="2"/>
              </w:numPr>
              <w:spacing w:after="160" w:line="259" w:lineRule="auto"/>
            </w:pPr>
            <w:r>
              <w:t>Use security code libraries</w:t>
            </w:r>
          </w:p>
          <w:p w14:paraId="62B8ED93" w14:textId="77777777" w:rsidR="007B6143" w:rsidRDefault="007B6143" w:rsidP="00417D32">
            <w:pPr>
              <w:pStyle w:val="ListParagraph"/>
              <w:numPr>
                <w:ilvl w:val="0"/>
                <w:numId w:val="2"/>
              </w:numPr>
              <w:spacing w:after="160" w:line="259" w:lineRule="auto"/>
            </w:pPr>
            <w:r>
              <w:t>Run vulnerability scans</w:t>
            </w:r>
          </w:p>
          <w:p w14:paraId="006975A6" w14:textId="77777777" w:rsidR="007B6143" w:rsidRDefault="007B6143" w:rsidP="00417D32">
            <w:pPr>
              <w:pStyle w:val="ListParagraph"/>
              <w:numPr>
                <w:ilvl w:val="0"/>
                <w:numId w:val="2"/>
              </w:numPr>
              <w:spacing w:after="160" w:line="259" w:lineRule="auto"/>
            </w:pPr>
            <w:r>
              <w:t>Code reviews</w:t>
            </w:r>
          </w:p>
          <w:p w14:paraId="0E5DCF61" w14:textId="6D1F1D5E" w:rsidR="007B6143" w:rsidRDefault="007E2081" w:rsidP="00417D32">
            <w:pPr>
              <w:pStyle w:val="ListParagraph"/>
              <w:numPr>
                <w:ilvl w:val="0"/>
                <w:numId w:val="2"/>
              </w:numPr>
              <w:spacing w:after="160" w:line="259" w:lineRule="auto"/>
            </w:pPr>
            <w:r>
              <w:t>Apply</w:t>
            </w:r>
            <w:r w:rsidR="007B6143">
              <w:t xml:space="preserve"> encryption algorithms to data</w:t>
            </w:r>
          </w:p>
          <w:p w14:paraId="0293E22A" w14:textId="77777777" w:rsidR="006218CC" w:rsidRDefault="006218CC" w:rsidP="00417D32">
            <w:pPr>
              <w:pStyle w:val="ListParagraph"/>
              <w:numPr>
                <w:ilvl w:val="0"/>
                <w:numId w:val="2"/>
              </w:numPr>
              <w:spacing w:after="160" w:line="259" w:lineRule="auto"/>
            </w:pPr>
            <w:r>
              <w:t>Utilise design patterns</w:t>
            </w:r>
          </w:p>
          <w:p w14:paraId="7B99CD70" w14:textId="37B948E3" w:rsidR="006218CC" w:rsidRDefault="006218CC" w:rsidP="00417D32">
            <w:pPr>
              <w:pStyle w:val="ListParagraph"/>
              <w:numPr>
                <w:ilvl w:val="0"/>
                <w:numId w:val="2"/>
              </w:numPr>
              <w:spacing w:after="160" w:line="259" w:lineRule="auto"/>
            </w:pPr>
            <w:r>
              <w:t>Perform quality gate checks</w:t>
            </w:r>
          </w:p>
        </w:tc>
      </w:tr>
      <w:tr w:rsidR="006A1CF6" w14:paraId="657504F1" w14:textId="77777777" w:rsidTr="006218CC">
        <w:tc>
          <w:tcPr>
            <w:tcW w:w="2830" w:type="dxa"/>
          </w:tcPr>
          <w:p w14:paraId="69CED08A" w14:textId="7B659E8F" w:rsidR="006A1CF6" w:rsidRDefault="006A1CF6">
            <w:r>
              <w:t>Reviewing</w:t>
            </w:r>
          </w:p>
        </w:tc>
        <w:tc>
          <w:tcPr>
            <w:tcW w:w="6804" w:type="dxa"/>
          </w:tcPr>
          <w:p w14:paraId="3609A81D" w14:textId="581B098C" w:rsidR="006A1CF6" w:rsidRDefault="007E2081" w:rsidP="007B6143">
            <w:pPr>
              <w:pStyle w:val="ListParagraph"/>
              <w:numPr>
                <w:ilvl w:val="0"/>
                <w:numId w:val="5"/>
              </w:numPr>
            </w:pPr>
            <w:r>
              <w:t>Do</w:t>
            </w:r>
            <w:r w:rsidR="007B6143">
              <w:t xml:space="preserve"> external review</w:t>
            </w:r>
          </w:p>
          <w:p w14:paraId="38FCF254" w14:textId="2492C529" w:rsidR="006218CC" w:rsidRDefault="006218CC" w:rsidP="007B6143">
            <w:pPr>
              <w:pStyle w:val="ListParagraph"/>
              <w:numPr>
                <w:ilvl w:val="0"/>
                <w:numId w:val="5"/>
              </w:numPr>
            </w:pPr>
            <w:r>
              <w:t xml:space="preserve">Review security policies and procedures </w:t>
            </w:r>
          </w:p>
          <w:p w14:paraId="325B736D" w14:textId="77777777" w:rsidR="007B6143" w:rsidRDefault="007B6143" w:rsidP="007B6143">
            <w:pPr>
              <w:pStyle w:val="ListParagraph"/>
              <w:numPr>
                <w:ilvl w:val="0"/>
                <w:numId w:val="5"/>
              </w:numPr>
            </w:pPr>
            <w:r>
              <w:t xml:space="preserve">Monitor security metrics </w:t>
            </w:r>
          </w:p>
          <w:p w14:paraId="2D26CF98" w14:textId="77777777" w:rsidR="007A48F9" w:rsidRDefault="007A48F9" w:rsidP="007B6143">
            <w:pPr>
              <w:pStyle w:val="ListParagraph"/>
              <w:numPr>
                <w:ilvl w:val="0"/>
                <w:numId w:val="5"/>
              </w:numPr>
            </w:pPr>
            <w:r>
              <w:t xml:space="preserve">Sprint Retrospectives </w:t>
            </w:r>
          </w:p>
          <w:p w14:paraId="3E2325FC" w14:textId="32103289" w:rsidR="007A48F9" w:rsidRDefault="007A48F9" w:rsidP="007B6143">
            <w:pPr>
              <w:pStyle w:val="ListParagraph"/>
              <w:numPr>
                <w:ilvl w:val="0"/>
                <w:numId w:val="5"/>
              </w:numPr>
            </w:pPr>
            <w:r>
              <w:t>Daily standup</w:t>
            </w:r>
          </w:p>
        </w:tc>
      </w:tr>
      <w:tr w:rsidR="006A1CF6" w14:paraId="0B06A6E8" w14:textId="77777777" w:rsidTr="006218CC">
        <w:tc>
          <w:tcPr>
            <w:tcW w:w="2830" w:type="dxa"/>
          </w:tcPr>
          <w:p w14:paraId="097EF643" w14:textId="202C8F08" w:rsidR="006A1CF6" w:rsidRDefault="006A1CF6">
            <w:r>
              <w:t>Releasing</w:t>
            </w:r>
          </w:p>
        </w:tc>
        <w:tc>
          <w:tcPr>
            <w:tcW w:w="6804" w:type="dxa"/>
          </w:tcPr>
          <w:p w14:paraId="0E9854E6" w14:textId="77777777" w:rsidR="006A1CF6" w:rsidRDefault="007B6143" w:rsidP="007B6143">
            <w:pPr>
              <w:pStyle w:val="ListParagraph"/>
              <w:numPr>
                <w:ilvl w:val="0"/>
                <w:numId w:val="4"/>
              </w:numPr>
            </w:pPr>
            <w:r>
              <w:t>Perform code signing</w:t>
            </w:r>
          </w:p>
          <w:p w14:paraId="7A321D40" w14:textId="177C4502" w:rsidR="007B6143" w:rsidRDefault="007B6143" w:rsidP="007B6143">
            <w:pPr>
              <w:pStyle w:val="ListParagraph"/>
              <w:numPr>
                <w:ilvl w:val="0"/>
                <w:numId w:val="4"/>
              </w:numPr>
            </w:pPr>
            <w:r>
              <w:t xml:space="preserve">Final </w:t>
            </w:r>
            <w:r w:rsidR="00F44DFD">
              <w:t>s</w:t>
            </w:r>
            <w:r>
              <w:t>ecurity review</w:t>
            </w:r>
          </w:p>
          <w:p w14:paraId="32AD086C" w14:textId="77777777" w:rsidR="007B6143" w:rsidRDefault="007B6143" w:rsidP="007B6143">
            <w:pPr>
              <w:pStyle w:val="ListParagraph"/>
              <w:numPr>
                <w:ilvl w:val="0"/>
                <w:numId w:val="4"/>
              </w:numPr>
            </w:pPr>
            <w:r>
              <w:t xml:space="preserve">Patch any security vulnerabilities </w:t>
            </w:r>
          </w:p>
          <w:p w14:paraId="66BA100D" w14:textId="1DA17151" w:rsidR="007B6143" w:rsidRDefault="007B6143" w:rsidP="007B6143">
            <w:pPr>
              <w:pStyle w:val="ListParagraph"/>
              <w:numPr>
                <w:ilvl w:val="0"/>
                <w:numId w:val="4"/>
              </w:numPr>
            </w:pPr>
            <w:r>
              <w:t>Create incident response plan</w:t>
            </w:r>
          </w:p>
        </w:tc>
      </w:tr>
    </w:tbl>
    <w:p w14:paraId="3D37EA5E" w14:textId="77777777" w:rsidR="006A1CF6" w:rsidRDefault="006A1CF6"/>
    <w:p w14:paraId="5DFA1B4D" w14:textId="0270C179" w:rsidR="00B3182F" w:rsidRDefault="00B3182F">
      <w:r>
        <w:br w:type="page"/>
      </w:r>
    </w:p>
    <w:p w14:paraId="0ECB0571" w14:textId="1040BC01" w:rsidR="006A1CF6" w:rsidRDefault="006A1CF6">
      <w:r>
        <w:lastRenderedPageBreak/>
        <w:t>Question 2:</w:t>
      </w:r>
    </w:p>
    <w:p w14:paraId="7D11002D" w14:textId="76CC0D80" w:rsidR="00CA0C74" w:rsidRDefault="00B91B89">
      <w:r w:rsidRPr="00B91B89">
        <w:t>Select five terms from ISO/IEC Standard 27000 Section 3 Terms and Definitions and write a 300-word blog post on how people can be managed to overcome cyber security attacks from the inside.</w:t>
      </w:r>
    </w:p>
    <w:p w14:paraId="4EAED3C4" w14:textId="0DDE7C07" w:rsidR="00301D49" w:rsidRDefault="00301D49">
      <w:bookmarkStart w:id="0" w:name="_Hlk161954027"/>
      <w:r>
        <w:t>H</w:t>
      </w:r>
      <w:r w:rsidRPr="00301D49">
        <w:t>ow people can be managed to overcome cyber security attacks from the inside</w:t>
      </w:r>
      <w:r>
        <w:t>?</w:t>
      </w:r>
    </w:p>
    <w:bookmarkEnd w:id="0"/>
    <w:p w14:paraId="23F2A00A" w14:textId="77777777" w:rsidR="00301D49" w:rsidRDefault="00301D49"/>
    <w:p w14:paraId="34224EB9" w14:textId="77777777" w:rsidR="009031EF" w:rsidRPr="001C1266" w:rsidRDefault="009031EF" w:rsidP="009031EF">
      <w:pPr>
        <w:rPr>
          <w:rFonts w:asciiTheme="minorHAnsi" w:hAnsiTheme="minorHAnsi" w:cstheme="minorHAnsi"/>
          <w:b/>
          <w:bCs/>
          <w:sz w:val="22"/>
          <w:u w:val="single"/>
        </w:rPr>
      </w:pPr>
      <w:r w:rsidRPr="001C1266">
        <w:rPr>
          <w:rFonts w:asciiTheme="minorHAnsi" w:hAnsiTheme="minorHAnsi" w:cstheme="minorHAnsi"/>
          <w:b/>
          <w:bCs/>
          <w:sz w:val="22"/>
          <w:u w:val="single"/>
        </w:rPr>
        <w:t>How people can be managed to overcome cyber security attacks from the inside?</w:t>
      </w:r>
    </w:p>
    <w:p w14:paraId="2332ECB8" w14:textId="77777777" w:rsidR="009031EF" w:rsidRPr="001C1266" w:rsidRDefault="009031EF" w:rsidP="009031EF">
      <w:pPr>
        <w:rPr>
          <w:rFonts w:asciiTheme="minorHAnsi" w:hAnsiTheme="minorHAnsi" w:cstheme="minorHAnsi"/>
          <w:sz w:val="22"/>
        </w:rPr>
      </w:pPr>
    </w:p>
    <w:p w14:paraId="73B01CB1"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 xml:space="preserve">As Thomas Reid rather eloquently put it “a chain is no stronger than its weakest link” (Reid, 1786). Contextualising this in terms of security the weakest link refers to the human element involved. In this blog post I am going to discuss how people can be managed to overcome cyber security attacks from the inside referencing chapter 3 from the ISO/IEC Standard. </w:t>
      </w:r>
    </w:p>
    <w:p w14:paraId="4649A7F0" w14:textId="77777777" w:rsidR="009031EF" w:rsidRPr="001C1266" w:rsidRDefault="009031EF" w:rsidP="009031EF">
      <w:pPr>
        <w:rPr>
          <w:rFonts w:asciiTheme="minorHAnsi" w:hAnsiTheme="minorHAnsi" w:cstheme="minorHAnsi"/>
          <w:sz w:val="22"/>
        </w:rPr>
      </w:pPr>
    </w:p>
    <w:p w14:paraId="12BC82EC"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The terms I focused on were access control, competence, monitoring, policy, and risk assessment. My rational for selecting these key terms was that I believe they play a significant role in how people can be managed to overcome cyber security attacks.</w:t>
      </w:r>
    </w:p>
    <w:p w14:paraId="64F75E51" w14:textId="77777777" w:rsidR="009031EF" w:rsidRPr="001C1266" w:rsidRDefault="009031EF" w:rsidP="009031EF">
      <w:pPr>
        <w:rPr>
          <w:rFonts w:asciiTheme="minorHAnsi" w:hAnsiTheme="minorHAnsi" w:cstheme="minorHAnsi"/>
          <w:sz w:val="22"/>
        </w:rPr>
      </w:pPr>
    </w:p>
    <w:p w14:paraId="00EA2751"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Training from leading security experts on how to spot and mitigate the latest security threats as well as educating employees on ethics, social engineering, phishing attacks, regulations, and compliance will greatly reduce the likelihood of threats to the system.</w:t>
      </w:r>
    </w:p>
    <w:p w14:paraId="31F2F264" w14:textId="77777777" w:rsidR="009031EF" w:rsidRPr="001C1266" w:rsidRDefault="009031EF" w:rsidP="009031EF">
      <w:pPr>
        <w:rPr>
          <w:rFonts w:asciiTheme="minorHAnsi" w:hAnsiTheme="minorHAnsi" w:cstheme="minorHAnsi"/>
          <w:sz w:val="22"/>
        </w:rPr>
      </w:pPr>
    </w:p>
    <w:p w14:paraId="5049C75C"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Requiring employees to take personality tests would allow organisations to spot people who could become security threats. For example, spotting vulnerable people who could be coerced. There are numerous studies done on this such as the technical report on Identifying At-Risk Employees (U.S. Department of Energy, 2010) and the journal article on Behavioural Analysis of Insider Threats (Azaria et all., 2014).</w:t>
      </w:r>
    </w:p>
    <w:p w14:paraId="39720261" w14:textId="77777777" w:rsidR="009031EF" w:rsidRPr="001C1266" w:rsidRDefault="009031EF" w:rsidP="009031EF">
      <w:pPr>
        <w:rPr>
          <w:rFonts w:asciiTheme="minorHAnsi" w:hAnsiTheme="minorHAnsi" w:cstheme="minorHAnsi"/>
          <w:sz w:val="22"/>
        </w:rPr>
      </w:pPr>
    </w:p>
    <w:p w14:paraId="65D21F40"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 xml:space="preserve">Having security policies in place, utilising </w:t>
      </w:r>
      <w:proofErr w:type="gramStart"/>
      <w:r w:rsidRPr="001C1266">
        <w:rPr>
          <w:rFonts w:asciiTheme="minorHAnsi" w:hAnsiTheme="minorHAnsi" w:cstheme="minorHAnsi"/>
          <w:sz w:val="22"/>
        </w:rPr>
        <w:t>security</w:t>
      </w:r>
      <w:proofErr w:type="gramEnd"/>
      <w:r w:rsidRPr="001C1266">
        <w:rPr>
          <w:rFonts w:asciiTheme="minorHAnsi" w:hAnsiTheme="minorHAnsi" w:cstheme="minorHAnsi"/>
          <w:sz w:val="22"/>
        </w:rPr>
        <w:t xml:space="preserve"> and monitoring software, having robust access controls and requiring admin approval to perform certain functions in conjunction with following the principle of least privilege help to ensure the security of a system.</w:t>
      </w:r>
    </w:p>
    <w:p w14:paraId="4905B630" w14:textId="77777777" w:rsidR="009031EF" w:rsidRPr="001C1266" w:rsidRDefault="009031EF" w:rsidP="009031EF">
      <w:pPr>
        <w:rPr>
          <w:rFonts w:asciiTheme="minorHAnsi" w:hAnsiTheme="minorHAnsi" w:cstheme="minorHAnsi"/>
          <w:sz w:val="22"/>
        </w:rPr>
      </w:pPr>
    </w:p>
    <w:p w14:paraId="7B2B2467" w14:textId="77777777" w:rsidR="009031EF" w:rsidRPr="001C1266" w:rsidRDefault="009031EF" w:rsidP="009031EF">
      <w:pPr>
        <w:rPr>
          <w:rFonts w:asciiTheme="minorHAnsi" w:hAnsiTheme="minorHAnsi" w:cstheme="minorHAnsi"/>
          <w:color w:val="343A40"/>
          <w:sz w:val="22"/>
          <w:shd w:val="clear" w:color="auto" w:fill="FFFFFF"/>
        </w:rPr>
      </w:pPr>
      <w:r w:rsidRPr="001C1266">
        <w:rPr>
          <w:rFonts w:asciiTheme="minorHAnsi" w:hAnsiTheme="minorHAnsi" w:cstheme="minorHAnsi"/>
          <w:sz w:val="22"/>
        </w:rPr>
        <w:t>As human error is one of the leading causes of cyber-attacks, I believe it’s vital for an organisation to create an atmosphere where people can learn from their mistakes. This is perfectly summed up by Henry Ford who stated, “</w:t>
      </w:r>
      <w:r w:rsidRPr="001C1266">
        <w:rPr>
          <w:rFonts w:asciiTheme="minorHAnsi" w:hAnsiTheme="minorHAnsi" w:cstheme="minorHAnsi"/>
          <w:color w:val="343A40"/>
          <w:sz w:val="22"/>
          <w:shd w:val="clear" w:color="auto" w:fill="FFFFFF"/>
        </w:rPr>
        <w:t>The only real mistake is the one from which we learn nothing”.</w:t>
      </w:r>
    </w:p>
    <w:p w14:paraId="412082DF" w14:textId="77777777" w:rsidR="009031EF" w:rsidRPr="001C1266" w:rsidRDefault="009031EF" w:rsidP="009031EF">
      <w:pPr>
        <w:rPr>
          <w:rFonts w:asciiTheme="minorHAnsi" w:hAnsiTheme="minorHAnsi" w:cstheme="minorHAnsi"/>
          <w:color w:val="343A40"/>
          <w:sz w:val="22"/>
          <w:shd w:val="clear" w:color="auto" w:fill="FFFFFF"/>
        </w:rPr>
      </w:pPr>
    </w:p>
    <w:p w14:paraId="17497DCE"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As humans are the biggest threat to cyber security it is important that they feel valued as If a disgruntled employee could become a security threat.</w:t>
      </w:r>
    </w:p>
    <w:p w14:paraId="796C04AD" w14:textId="77777777" w:rsidR="009031EF" w:rsidRPr="001C1266" w:rsidRDefault="009031EF" w:rsidP="009031EF">
      <w:pPr>
        <w:rPr>
          <w:rFonts w:asciiTheme="minorHAnsi" w:hAnsiTheme="minorHAnsi" w:cstheme="minorHAnsi"/>
          <w:color w:val="343A40"/>
          <w:sz w:val="22"/>
          <w:shd w:val="clear" w:color="auto" w:fill="FFFFFF"/>
        </w:rPr>
      </w:pPr>
    </w:p>
    <w:p w14:paraId="3FFC4D92" w14:textId="77777777" w:rsidR="009031EF" w:rsidRPr="001C1266" w:rsidRDefault="009031EF" w:rsidP="009031EF">
      <w:pPr>
        <w:rPr>
          <w:rFonts w:asciiTheme="minorHAnsi" w:hAnsiTheme="minorHAnsi" w:cstheme="minorHAnsi"/>
          <w:b/>
          <w:bCs/>
          <w:color w:val="343A40"/>
          <w:sz w:val="22"/>
          <w:u w:val="single"/>
          <w:shd w:val="clear" w:color="auto" w:fill="FFFFFF"/>
        </w:rPr>
      </w:pPr>
      <w:r w:rsidRPr="001C1266">
        <w:rPr>
          <w:rFonts w:asciiTheme="minorHAnsi" w:hAnsiTheme="minorHAnsi" w:cstheme="minorHAnsi"/>
          <w:b/>
          <w:bCs/>
          <w:color w:val="343A40"/>
          <w:sz w:val="22"/>
          <w:u w:val="single"/>
          <w:shd w:val="clear" w:color="auto" w:fill="FFFFFF"/>
        </w:rPr>
        <w:t>References</w:t>
      </w:r>
    </w:p>
    <w:p w14:paraId="4D38A318" w14:textId="77777777" w:rsidR="009031EF" w:rsidRPr="001C1266" w:rsidRDefault="009031EF" w:rsidP="009031EF">
      <w:pPr>
        <w:rPr>
          <w:rFonts w:asciiTheme="minorHAnsi" w:hAnsiTheme="minorHAnsi" w:cstheme="minorHAnsi"/>
          <w:color w:val="343A40"/>
          <w:sz w:val="22"/>
          <w:shd w:val="clear" w:color="auto" w:fill="FFFFFF"/>
        </w:rPr>
      </w:pPr>
    </w:p>
    <w:p w14:paraId="10D5AD62" w14:textId="77777777" w:rsidR="009031EF" w:rsidRPr="001C1266" w:rsidRDefault="009031EF" w:rsidP="009031EF">
      <w:pPr>
        <w:spacing w:after="0" w:line="480" w:lineRule="auto"/>
        <w:rPr>
          <w:rFonts w:asciiTheme="minorHAnsi" w:eastAsia="Times New Roman" w:hAnsiTheme="minorHAnsi" w:cstheme="minorHAnsi"/>
          <w:color w:val="0E101A"/>
          <w:sz w:val="22"/>
          <w:lang w:eastAsia="en-AE"/>
        </w:rPr>
      </w:pPr>
      <w:r w:rsidRPr="001C1266">
        <w:rPr>
          <w:rFonts w:asciiTheme="minorHAnsi" w:eastAsia="Times New Roman" w:hAnsiTheme="minorHAnsi" w:cstheme="minorHAnsi"/>
          <w:i/>
          <w:iCs/>
          <w:color w:val="0E101A"/>
          <w:sz w:val="22"/>
          <w:lang w:eastAsia="en-AE"/>
        </w:rPr>
        <w:t>ISO/IEC 27000:2018(EN) - international organization for standardization</w:t>
      </w:r>
      <w:r w:rsidRPr="001C1266">
        <w:rPr>
          <w:rFonts w:asciiTheme="minorHAnsi" w:eastAsia="Times New Roman" w:hAnsiTheme="minorHAnsi" w:cstheme="minorHAnsi"/>
          <w:color w:val="0E101A"/>
          <w:sz w:val="22"/>
          <w:lang w:eastAsia="en-AE"/>
        </w:rPr>
        <w:t xml:space="preserve">. ISO. Available at: </w:t>
      </w:r>
      <w:hyperlink r:id="rId7" w:history="1">
        <w:r w:rsidRPr="00B46C72">
          <w:rPr>
            <w:rStyle w:val="Hyperlink"/>
            <w:rFonts w:asciiTheme="minorHAnsi" w:eastAsia="Times New Roman" w:hAnsiTheme="minorHAnsi" w:cstheme="minorHAnsi"/>
            <w:sz w:val="22"/>
            <w:lang w:eastAsia="en-AE"/>
          </w:rPr>
          <w:t>https://www.iso.org/obp/ui/#iso:std:iso-iec:27000:ed-5:v1:en</w:t>
        </w:r>
      </w:hyperlink>
      <w:r>
        <w:rPr>
          <w:rFonts w:asciiTheme="minorHAnsi" w:eastAsia="Times New Roman" w:hAnsiTheme="minorHAnsi" w:cstheme="minorHAnsi"/>
          <w:color w:val="0E101A"/>
          <w:sz w:val="22"/>
          <w:lang w:eastAsia="en-AE"/>
        </w:rPr>
        <w:t xml:space="preserve"> </w:t>
      </w:r>
      <w:r w:rsidRPr="001C1266">
        <w:rPr>
          <w:rFonts w:asciiTheme="minorHAnsi" w:eastAsia="Times New Roman" w:hAnsiTheme="minorHAnsi" w:cstheme="minorHAnsi"/>
          <w:color w:val="0E101A"/>
          <w:sz w:val="22"/>
          <w:lang w:eastAsia="en-AE"/>
        </w:rPr>
        <w:t xml:space="preserve"> </w:t>
      </w:r>
      <w:r w:rsidRPr="001C1266">
        <w:rPr>
          <w:rFonts w:asciiTheme="minorHAnsi" w:hAnsiTheme="minorHAnsi" w:cstheme="minorHAnsi"/>
          <w:sz w:val="22"/>
        </w:rPr>
        <w:t>[Accessed 21 March 2024]</w:t>
      </w:r>
    </w:p>
    <w:p w14:paraId="70693E06" w14:textId="77777777" w:rsidR="009031EF" w:rsidRPr="001C1266" w:rsidRDefault="009031EF" w:rsidP="009031EF">
      <w:pPr>
        <w:spacing w:after="0" w:line="480" w:lineRule="auto"/>
        <w:rPr>
          <w:rFonts w:asciiTheme="minorHAnsi" w:eastAsia="Times New Roman" w:hAnsiTheme="minorHAnsi" w:cstheme="minorHAnsi"/>
          <w:color w:val="0E101A"/>
          <w:sz w:val="22"/>
          <w:lang w:eastAsia="en-AE"/>
        </w:rPr>
      </w:pPr>
      <w:r w:rsidRPr="001C1266">
        <w:rPr>
          <w:rFonts w:asciiTheme="minorHAnsi" w:hAnsiTheme="minorHAnsi" w:cstheme="minorHAnsi"/>
          <w:sz w:val="22"/>
        </w:rPr>
        <w:t xml:space="preserve">U.S. Department of Energy (2010). </w:t>
      </w:r>
      <w:r w:rsidRPr="001C1266">
        <w:rPr>
          <w:rFonts w:asciiTheme="minorHAnsi" w:hAnsiTheme="minorHAnsi" w:cstheme="minorHAnsi"/>
          <w:i/>
          <w:iCs/>
          <w:sz w:val="22"/>
        </w:rPr>
        <w:t xml:space="preserve">Identifying at-risk employees: A </w:t>
      </w:r>
      <w:proofErr w:type="spellStart"/>
      <w:r w:rsidRPr="001C1266">
        <w:rPr>
          <w:rFonts w:asciiTheme="minorHAnsi" w:hAnsiTheme="minorHAnsi" w:cstheme="minorHAnsi"/>
          <w:i/>
          <w:iCs/>
          <w:sz w:val="22"/>
        </w:rPr>
        <w:t>behavioral</w:t>
      </w:r>
      <w:proofErr w:type="spellEnd"/>
      <w:r w:rsidRPr="001C1266">
        <w:rPr>
          <w:rFonts w:asciiTheme="minorHAnsi" w:hAnsiTheme="minorHAnsi" w:cstheme="minorHAnsi"/>
          <w:i/>
          <w:iCs/>
          <w:sz w:val="22"/>
        </w:rPr>
        <w:t xml:space="preserve"> model for predicting potential insider threats</w:t>
      </w:r>
      <w:r w:rsidRPr="001C1266">
        <w:rPr>
          <w:rFonts w:asciiTheme="minorHAnsi" w:hAnsiTheme="minorHAnsi" w:cstheme="minorHAnsi"/>
          <w:sz w:val="22"/>
        </w:rPr>
        <w:t xml:space="preserve">. Available from: </w:t>
      </w:r>
      <w:hyperlink r:id="rId8" w:history="1">
        <w:r w:rsidRPr="001C1266">
          <w:rPr>
            <w:rStyle w:val="Hyperlink"/>
            <w:rFonts w:asciiTheme="minorHAnsi" w:hAnsiTheme="minorHAnsi" w:cstheme="minorHAnsi"/>
            <w:sz w:val="22"/>
          </w:rPr>
          <w:t>https://doi.org/10.2172/1000159</w:t>
        </w:r>
      </w:hyperlink>
      <w:r w:rsidRPr="001C1266">
        <w:rPr>
          <w:rFonts w:asciiTheme="minorHAnsi" w:hAnsiTheme="minorHAnsi" w:cstheme="minorHAnsi"/>
          <w:sz w:val="22"/>
        </w:rPr>
        <w:t xml:space="preserve"> [Accessed 21 March 2024]</w:t>
      </w:r>
    </w:p>
    <w:p w14:paraId="107D5994" w14:textId="77777777" w:rsidR="009031EF" w:rsidRPr="001C1266" w:rsidRDefault="009031EF" w:rsidP="009031EF">
      <w:pPr>
        <w:rPr>
          <w:rFonts w:asciiTheme="minorHAnsi" w:hAnsiTheme="minorHAnsi" w:cstheme="minorHAnsi"/>
          <w:color w:val="343A40"/>
          <w:sz w:val="22"/>
          <w:shd w:val="clear" w:color="auto" w:fill="FFFFFF"/>
        </w:rPr>
      </w:pPr>
    </w:p>
    <w:p w14:paraId="33E23DBC"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 xml:space="preserve">Azaria, A., Richardson, S K &amp; </w:t>
      </w:r>
      <w:proofErr w:type="spellStart"/>
      <w:r w:rsidRPr="001C1266">
        <w:rPr>
          <w:rFonts w:asciiTheme="minorHAnsi" w:hAnsiTheme="minorHAnsi" w:cstheme="minorHAnsi"/>
          <w:sz w:val="22"/>
        </w:rPr>
        <w:t>Subrahmanian</w:t>
      </w:r>
      <w:proofErr w:type="spellEnd"/>
      <w:r w:rsidRPr="001C1266">
        <w:rPr>
          <w:rFonts w:asciiTheme="minorHAnsi" w:hAnsiTheme="minorHAnsi" w:cstheme="minorHAnsi"/>
          <w:sz w:val="22"/>
        </w:rPr>
        <w:t xml:space="preserve">, V S. (2014) </w:t>
      </w:r>
      <w:proofErr w:type="spellStart"/>
      <w:r w:rsidRPr="001C1266">
        <w:rPr>
          <w:rFonts w:asciiTheme="minorHAnsi" w:hAnsiTheme="minorHAnsi" w:cstheme="minorHAnsi"/>
          <w:sz w:val="22"/>
        </w:rPr>
        <w:t>Behavioral</w:t>
      </w:r>
      <w:proofErr w:type="spellEnd"/>
      <w:r w:rsidRPr="001C1266">
        <w:rPr>
          <w:rFonts w:asciiTheme="minorHAnsi" w:hAnsiTheme="minorHAnsi" w:cstheme="minorHAnsi"/>
          <w:sz w:val="22"/>
        </w:rPr>
        <w:t xml:space="preserve"> Analysis of Insider Threat: A Survey and Bootstrapped Prediction in Imbalanced Data. </w:t>
      </w:r>
      <w:r w:rsidRPr="001C1266">
        <w:rPr>
          <w:rFonts w:asciiTheme="minorHAnsi" w:hAnsiTheme="minorHAnsi" w:cstheme="minorHAnsi"/>
          <w:i/>
          <w:iCs/>
          <w:sz w:val="22"/>
        </w:rPr>
        <w:t>IEEE Transactions on Computational Social Systems</w:t>
      </w:r>
      <w:r w:rsidRPr="001C1266">
        <w:rPr>
          <w:rFonts w:asciiTheme="minorHAnsi" w:hAnsiTheme="minorHAnsi" w:cstheme="minorHAnsi"/>
          <w:sz w:val="22"/>
        </w:rPr>
        <w:t xml:space="preserve"> 1(22): 135-155. </w:t>
      </w:r>
      <w:proofErr w:type="spellStart"/>
      <w:r w:rsidRPr="001C1266">
        <w:rPr>
          <w:rFonts w:asciiTheme="minorHAnsi" w:hAnsiTheme="minorHAnsi" w:cstheme="minorHAnsi"/>
          <w:sz w:val="22"/>
        </w:rPr>
        <w:t>doi</w:t>
      </w:r>
      <w:proofErr w:type="spellEnd"/>
      <w:r w:rsidRPr="001C1266">
        <w:rPr>
          <w:rFonts w:asciiTheme="minorHAnsi" w:hAnsiTheme="minorHAnsi" w:cstheme="minorHAnsi"/>
          <w:sz w:val="22"/>
        </w:rPr>
        <w:t>: 10.1109/TCSS.2014.2377811. [Accessed 21 March 2024]</w:t>
      </w:r>
    </w:p>
    <w:p w14:paraId="09672D44" w14:textId="77777777" w:rsidR="009031EF" w:rsidRPr="001C1266" w:rsidRDefault="009031EF" w:rsidP="009031EF">
      <w:pPr>
        <w:rPr>
          <w:rFonts w:asciiTheme="minorHAnsi" w:hAnsiTheme="minorHAnsi" w:cstheme="minorHAnsi"/>
          <w:sz w:val="22"/>
        </w:rPr>
      </w:pPr>
    </w:p>
    <w:p w14:paraId="5640469E" w14:textId="77777777" w:rsidR="009031EF" w:rsidRPr="001C1266" w:rsidRDefault="009031EF" w:rsidP="009031EF">
      <w:pPr>
        <w:rPr>
          <w:rFonts w:asciiTheme="minorHAnsi" w:hAnsiTheme="minorHAnsi" w:cstheme="minorHAnsi"/>
          <w:sz w:val="22"/>
        </w:rPr>
      </w:pPr>
      <w:r w:rsidRPr="001C1266">
        <w:rPr>
          <w:rFonts w:asciiTheme="minorHAnsi" w:hAnsiTheme="minorHAnsi" w:cstheme="minorHAnsi"/>
          <w:sz w:val="22"/>
        </w:rPr>
        <w:t xml:space="preserve">Reid, T. (1786). </w:t>
      </w:r>
      <w:r w:rsidRPr="001C1266">
        <w:rPr>
          <w:rFonts w:asciiTheme="minorHAnsi" w:hAnsiTheme="minorHAnsi" w:cstheme="minorHAnsi"/>
          <w:color w:val="202122"/>
          <w:sz w:val="22"/>
          <w:shd w:val="clear" w:color="auto" w:fill="FFFFFF"/>
        </w:rPr>
        <w:t>Essays on the Intellectual Powers of Man. Great Britain: John Bell</w:t>
      </w:r>
    </w:p>
    <w:p w14:paraId="7C5F6852" w14:textId="77777777" w:rsidR="004E0939" w:rsidRDefault="004E0939" w:rsidP="004E0939"/>
    <w:p w14:paraId="7340F2F0" w14:textId="5869F7EF" w:rsidR="004E0939" w:rsidRDefault="004E0939" w:rsidP="004E0939"/>
    <w:sectPr w:rsidR="004E093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1B9D8A" w14:textId="77777777" w:rsidR="00201CEB" w:rsidRDefault="00201CEB" w:rsidP="00417D32">
      <w:pPr>
        <w:spacing w:after="0" w:line="240" w:lineRule="auto"/>
      </w:pPr>
      <w:r>
        <w:separator/>
      </w:r>
    </w:p>
  </w:endnote>
  <w:endnote w:type="continuationSeparator" w:id="0">
    <w:p w14:paraId="2AD116DC" w14:textId="77777777" w:rsidR="00201CEB" w:rsidRDefault="00201CEB" w:rsidP="00417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AF9F4" w14:textId="77777777" w:rsidR="00201CEB" w:rsidRDefault="00201CEB" w:rsidP="00417D32">
      <w:pPr>
        <w:spacing w:after="0" w:line="240" w:lineRule="auto"/>
      </w:pPr>
      <w:r>
        <w:separator/>
      </w:r>
    </w:p>
  </w:footnote>
  <w:footnote w:type="continuationSeparator" w:id="0">
    <w:p w14:paraId="0E0D4FC6" w14:textId="77777777" w:rsidR="00201CEB" w:rsidRDefault="00201CEB" w:rsidP="00417D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07F1D"/>
    <w:multiLevelType w:val="multilevel"/>
    <w:tmpl w:val="91F02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41289"/>
    <w:multiLevelType w:val="hybridMultilevel"/>
    <w:tmpl w:val="7B7017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AD474C"/>
    <w:multiLevelType w:val="hybridMultilevel"/>
    <w:tmpl w:val="F41209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095820"/>
    <w:multiLevelType w:val="hybridMultilevel"/>
    <w:tmpl w:val="FA52D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7696E6E"/>
    <w:multiLevelType w:val="hybridMultilevel"/>
    <w:tmpl w:val="67801C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3B73C8"/>
    <w:multiLevelType w:val="hybridMultilevel"/>
    <w:tmpl w:val="1E54BF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497A19"/>
    <w:multiLevelType w:val="hybridMultilevel"/>
    <w:tmpl w:val="D25ED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3439B0"/>
    <w:multiLevelType w:val="hybridMultilevel"/>
    <w:tmpl w:val="A5285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38925">
    <w:abstractNumId w:val="5"/>
  </w:num>
  <w:num w:numId="2" w16cid:durableId="948663079">
    <w:abstractNumId w:val="6"/>
  </w:num>
  <w:num w:numId="3" w16cid:durableId="1470322773">
    <w:abstractNumId w:val="7"/>
  </w:num>
  <w:num w:numId="4" w16cid:durableId="1222014684">
    <w:abstractNumId w:val="2"/>
  </w:num>
  <w:num w:numId="5" w16cid:durableId="1486124957">
    <w:abstractNumId w:val="3"/>
  </w:num>
  <w:num w:numId="6" w16cid:durableId="1594434301">
    <w:abstractNumId w:val="1"/>
  </w:num>
  <w:num w:numId="7" w16cid:durableId="2095857045">
    <w:abstractNumId w:val="4"/>
  </w:num>
  <w:num w:numId="8" w16cid:durableId="6353807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A1CF6"/>
    <w:rsid w:val="000C0B95"/>
    <w:rsid w:val="001153A9"/>
    <w:rsid w:val="001A6A69"/>
    <w:rsid w:val="00201CEB"/>
    <w:rsid w:val="00234F0A"/>
    <w:rsid w:val="002C10EC"/>
    <w:rsid w:val="002C55B0"/>
    <w:rsid w:val="00301D49"/>
    <w:rsid w:val="00360A7D"/>
    <w:rsid w:val="003636D5"/>
    <w:rsid w:val="00373201"/>
    <w:rsid w:val="00375D02"/>
    <w:rsid w:val="00417D32"/>
    <w:rsid w:val="004B2C11"/>
    <w:rsid w:val="004E0939"/>
    <w:rsid w:val="004F6BFB"/>
    <w:rsid w:val="005F0AED"/>
    <w:rsid w:val="00607E02"/>
    <w:rsid w:val="006218CC"/>
    <w:rsid w:val="00650F39"/>
    <w:rsid w:val="006A1CF6"/>
    <w:rsid w:val="007A48F9"/>
    <w:rsid w:val="007B6143"/>
    <w:rsid w:val="007E2081"/>
    <w:rsid w:val="009031EF"/>
    <w:rsid w:val="0093295D"/>
    <w:rsid w:val="00983BA4"/>
    <w:rsid w:val="00A40D0F"/>
    <w:rsid w:val="00A4189A"/>
    <w:rsid w:val="00A741E0"/>
    <w:rsid w:val="00B3182F"/>
    <w:rsid w:val="00B905BA"/>
    <w:rsid w:val="00B91B89"/>
    <w:rsid w:val="00BD0BBE"/>
    <w:rsid w:val="00BE5439"/>
    <w:rsid w:val="00C40968"/>
    <w:rsid w:val="00C4109C"/>
    <w:rsid w:val="00CA0C74"/>
    <w:rsid w:val="00CB73EC"/>
    <w:rsid w:val="00D9235C"/>
    <w:rsid w:val="00DA15B0"/>
    <w:rsid w:val="00E012FC"/>
    <w:rsid w:val="00E234DC"/>
    <w:rsid w:val="00E55123"/>
    <w:rsid w:val="00E80C1E"/>
    <w:rsid w:val="00F44DFD"/>
    <w:rsid w:val="00FE34E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D606A9"/>
  <w15:docId w15:val="{F9FB1C80-2793-4D7A-B4C0-16CBF468E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kern w:val="2"/>
        <w:sz w:val="24"/>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8C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1C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17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7D32"/>
  </w:style>
  <w:style w:type="paragraph" w:styleId="Footer">
    <w:name w:val="footer"/>
    <w:basedOn w:val="Normal"/>
    <w:link w:val="FooterChar"/>
    <w:uiPriority w:val="99"/>
    <w:unhideWhenUsed/>
    <w:rsid w:val="00417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7D32"/>
  </w:style>
  <w:style w:type="paragraph" w:styleId="ListParagraph">
    <w:name w:val="List Paragraph"/>
    <w:basedOn w:val="Normal"/>
    <w:uiPriority w:val="34"/>
    <w:qFormat/>
    <w:rsid w:val="00417D32"/>
    <w:pPr>
      <w:ind w:left="720"/>
      <w:contextualSpacing/>
    </w:pPr>
  </w:style>
  <w:style w:type="character" w:styleId="Hyperlink">
    <w:name w:val="Hyperlink"/>
    <w:basedOn w:val="DefaultParagraphFont"/>
    <w:uiPriority w:val="99"/>
    <w:unhideWhenUsed/>
    <w:rsid w:val="00C40968"/>
    <w:rPr>
      <w:color w:val="0000FF"/>
      <w:u w:val="single"/>
    </w:rPr>
  </w:style>
  <w:style w:type="paragraph" w:styleId="NormalWeb">
    <w:name w:val="Normal (Web)"/>
    <w:basedOn w:val="Normal"/>
    <w:uiPriority w:val="99"/>
    <w:semiHidden/>
    <w:unhideWhenUsed/>
    <w:rsid w:val="00C40968"/>
    <w:pPr>
      <w:spacing w:before="100" w:beforeAutospacing="1" w:after="100" w:afterAutospacing="1" w:line="240" w:lineRule="auto"/>
    </w:pPr>
    <w:rPr>
      <w:rFonts w:ascii="Times New Roman" w:eastAsia="Times New Roman" w:hAnsi="Times New Roman" w:cs="Times New Roman"/>
      <w:kern w:val="0"/>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825959">
      <w:bodyDiv w:val="1"/>
      <w:marLeft w:val="0"/>
      <w:marRight w:val="0"/>
      <w:marTop w:val="0"/>
      <w:marBottom w:val="0"/>
      <w:divBdr>
        <w:top w:val="none" w:sz="0" w:space="0" w:color="auto"/>
        <w:left w:val="none" w:sz="0" w:space="0" w:color="auto"/>
        <w:bottom w:val="none" w:sz="0" w:space="0" w:color="auto"/>
        <w:right w:val="none" w:sz="0" w:space="0" w:color="auto"/>
      </w:divBdr>
    </w:div>
    <w:div w:id="1475098426">
      <w:bodyDiv w:val="1"/>
      <w:marLeft w:val="0"/>
      <w:marRight w:val="0"/>
      <w:marTop w:val="0"/>
      <w:marBottom w:val="0"/>
      <w:divBdr>
        <w:top w:val="none" w:sz="0" w:space="0" w:color="auto"/>
        <w:left w:val="none" w:sz="0" w:space="0" w:color="auto"/>
        <w:bottom w:val="none" w:sz="0" w:space="0" w:color="auto"/>
        <w:right w:val="none" w:sz="0" w:space="0" w:color="auto"/>
      </w:divBdr>
    </w:div>
    <w:div w:id="17594769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2172/1000159" TargetMode="External"/><Relationship Id="rId3" Type="http://schemas.openxmlformats.org/officeDocument/2006/relationships/settings" Target="settings.xml"/><Relationship Id="rId7" Type="http://schemas.openxmlformats.org/officeDocument/2006/relationships/hyperlink" Target="https://www.iso.org/obp/ui/#iso:std:iso-iec:27000:ed-5:v1: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1296</TotalTime>
  <Pages>3</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Harrison</dc:creator>
  <cp:keywords/>
  <dc:description/>
  <cp:lastModifiedBy>Sam Harrison</cp:lastModifiedBy>
  <cp:revision>1</cp:revision>
  <dcterms:created xsi:type="dcterms:W3CDTF">2024-03-17T13:27:00Z</dcterms:created>
  <dcterms:modified xsi:type="dcterms:W3CDTF">2024-03-23T14:29:00Z</dcterms:modified>
</cp:coreProperties>
</file>