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hcf563ow5zm" w:id="0"/>
      <w:bookmarkEnd w:id="0"/>
      <w:r w:rsidDel="00000000" w:rsidR="00000000" w:rsidRPr="00000000">
        <w:rPr>
          <w:b w:val="1"/>
          <w:bCs w:val="1"/>
          <w:sz w:val="46"/>
          <w:szCs w:val="46"/>
          <w:rtl w:val="0"/>
        </w:rPr>
        <w:t xml:space="preserve">Estrategia de Automatización y Patrones Utilizados</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f3mkfarl18pl" w:id="1"/>
      <w:bookmarkEnd w:id="1"/>
      <w:r w:rsidDel="00000000" w:rsidR="00000000" w:rsidRPr="00000000">
        <w:rPr>
          <w:b w:val="1"/>
          <w:bCs w:val="1"/>
          <w:sz w:val="34"/>
          <w:szCs w:val="34"/>
          <w:rtl w:val="0"/>
        </w:rPr>
        <w:t xml:space="preserve">Estrategia de Automatización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 estrategia de automatización implementada se basa en un enfoque </w:t>
      </w:r>
      <w:r w:rsidDel="00000000" w:rsidR="00000000" w:rsidRPr="00000000">
        <w:rPr>
          <w:b w:val="1"/>
          <w:bCs w:val="1"/>
          <w:rtl w:val="0"/>
        </w:rPr>
        <w:t xml:space="preserve">end-to-end (E2E)</w:t>
      </w:r>
      <w:r w:rsidDel="00000000" w:rsidR="00000000" w:rsidRPr="00000000">
        <w:rPr>
          <w:rtl w:val="0"/>
        </w:rPr>
        <w:t xml:space="preserve"> orientado a validar los flujos críticos del usuario dentro de la aplicación Sauce Demo, priorizando escenarios representativos del negocio como el inicio de sesión, la selección de productos y la gestión del carrito de compras.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Se utilizó un enfoque </w:t>
      </w:r>
      <w:r w:rsidDel="00000000" w:rsidR="00000000" w:rsidRPr="00000000">
        <w:rPr>
          <w:b w:val="1"/>
          <w:bCs w:val="1"/>
          <w:rtl w:val="0"/>
        </w:rPr>
        <w:t xml:space="preserve">BDD (Behavior Driven Development)</w:t>
      </w:r>
      <w:r w:rsidDel="00000000" w:rsidR="00000000" w:rsidRPr="00000000">
        <w:rPr>
          <w:rtl w:val="0"/>
        </w:rPr>
        <w:t xml:space="preserve"> mediante Cucumber, lo que permitió definir escenarios en lenguaje natural (Gherkin), facilitando la comprensión tanto para perfiles técnicos como no técnicos. Esta estrategia favorece la trazabilidad entre los criterios de aceptación y los casos de prueba automatizados.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Asimismo, se empleó Playwright como herramienta de automatización, aprovechando sus capacidades de:</w:t>
      </w:r>
    </w:p>
    <w:p w:rsidR="00000000" w:rsidDel="00000000" w:rsidP="00000000" w:rsidRDefault="00000000" w:rsidRPr="00000000" w14:paraId="00000006">
      <w:pPr>
        <w:numPr>
          <w:ilvl w:val="0"/>
          <w:numId w:val="6"/>
        </w:numPr>
        <w:spacing w:after="0" w:afterAutospacing="0" w:before="240" w:lineRule="auto"/>
        <w:ind w:left="720" w:hanging="360"/>
        <w:jc w:val="both"/>
      </w:pPr>
      <w:r w:rsidDel="00000000" w:rsidR="00000000" w:rsidRPr="00000000">
        <w:rPr>
          <w:rtl w:val="0"/>
        </w:rPr>
        <w:t xml:space="preserve">Auto-waiting</w:t>
      </w:r>
    </w:p>
    <w:p w:rsidR="00000000" w:rsidDel="00000000" w:rsidP="00000000" w:rsidRDefault="00000000" w:rsidRPr="00000000" w14:paraId="00000007">
      <w:pPr>
        <w:numPr>
          <w:ilvl w:val="0"/>
          <w:numId w:val="6"/>
        </w:numPr>
        <w:spacing w:after="0" w:afterAutospacing="0" w:before="0" w:beforeAutospacing="0" w:lineRule="auto"/>
        <w:ind w:left="720" w:hanging="360"/>
        <w:jc w:val="both"/>
      </w:pPr>
      <w:r w:rsidDel="00000000" w:rsidR="00000000" w:rsidRPr="00000000">
        <w:rPr>
          <w:rtl w:val="0"/>
        </w:rPr>
        <w:t xml:space="preserve">Manejo eficiente de eventos asíncronos</w:t>
      </w:r>
    </w:p>
    <w:p w:rsidR="00000000" w:rsidDel="00000000" w:rsidP="00000000" w:rsidRDefault="00000000" w:rsidRPr="00000000" w14:paraId="00000008">
      <w:pPr>
        <w:numPr>
          <w:ilvl w:val="0"/>
          <w:numId w:val="6"/>
        </w:numPr>
        <w:spacing w:after="240" w:before="0" w:beforeAutospacing="0" w:lineRule="auto"/>
        <w:ind w:left="720" w:hanging="360"/>
        <w:jc w:val="both"/>
      </w:pPr>
      <w:r w:rsidDel="00000000" w:rsidR="00000000" w:rsidRPr="00000000">
        <w:rPr>
          <w:rtl w:val="0"/>
        </w:rPr>
        <w:t xml:space="preserve">Ejecución confiable y estable de pruebas UI</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 automatización también incorpora:</w:t>
      </w:r>
    </w:p>
    <w:p w:rsidR="00000000" w:rsidDel="00000000" w:rsidP="00000000" w:rsidRDefault="00000000" w:rsidRPr="00000000" w14:paraId="0000000A">
      <w:pPr>
        <w:numPr>
          <w:ilvl w:val="0"/>
          <w:numId w:val="2"/>
        </w:numPr>
        <w:spacing w:after="0" w:afterAutospacing="0" w:before="240" w:lineRule="auto"/>
        <w:ind w:left="720" w:hanging="360"/>
        <w:jc w:val="both"/>
      </w:pPr>
      <w:r w:rsidDel="00000000" w:rsidR="00000000" w:rsidRPr="00000000">
        <w:rPr>
          <w:b w:val="1"/>
          <w:bCs w:val="1"/>
          <w:rtl w:val="0"/>
        </w:rPr>
        <w:t xml:space="preserve">Datos dinámicos</w:t>
      </w:r>
      <w:r w:rsidDel="00000000" w:rsidR="00000000" w:rsidRPr="00000000">
        <w:rPr>
          <w:rtl w:val="0"/>
        </w:rPr>
        <w:t xml:space="preserve">, mediante la selección aleatoria de productos, evitando el hardcodeo.</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Validaciones basadas en estado real de la UI</w:t>
      </w:r>
      <w:r w:rsidDel="00000000" w:rsidR="00000000" w:rsidRPr="00000000">
        <w:rPr>
          <w:rtl w:val="0"/>
        </w:rPr>
        <w:t xml:space="preserve">, asegurando consistencia entre acciones y resultados</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b w:val="1"/>
          <w:bCs w:val="1"/>
          <w:rtl w:val="0"/>
        </w:rPr>
        <w:t xml:space="preserve">Separación de responsabilidades</w:t>
      </w:r>
      <w:r w:rsidDel="00000000" w:rsidR="00000000" w:rsidRPr="00000000">
        <w:rPr>
          <w:rtl w:val="0"/>
        </w:rPr>
        <w:t xml:space="preserve">, lo que mejora la mantenibilidad y escalabilidad del framework</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cz3qmggo19gf" w:id="2"/>
      <w:bookmarkEnd w:id="2"/>
      <w:r w:rsidDel="00000000" w:rsidR="00000000" w:rsidRPr="00000000">
        <w:rPr>
          <w:b w:val="1"/>
          <w:bCs w:val="1"/>
          <w:sz w:val="34"/>
          <w:szCs w:val="34"/>
          <w:rtl w:val="0"/>
        </w:rPr>
        <w:t xml:space="preserve">Patrones de Diseño Utilizados</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fgpmqjaiflce" w:id="3"/>
      <w:bookmarkEnd w:id="3"/>
      <w:r w:rsidDel="00000000" w:rsidR="00000000" w:rsidRPr="00000000">
        <w:rPr>
          <w:b w:val="1"/>
          <w:bCs w:val="1"/>
          <w:color w:val="000000"/>
          <w:sz w:val="26"/>
          <w:szCs w:val="26"/>
          <w:rtl w:val="0"/>
        </w:rPr>
        <w:t xml:space="preserve">1. Page Object Model (POM)</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Se implementó el patrón </w:t>
      </w:r>
      <w:r w:rsidDel="00000000" w:rsidR="00000000" w:rsidRPr="00000000">
        <w:rPr>
          <w:b w:val="1"/>
          <w:bCs w:val="1"/>
          <w:rtl w:val="0"/>
        </w:rPr>
        <w:t xml:space="preserve">Page Object Model (POM)</w:t>
      </w:r>
      <w:r w:rsidDel="00000000" w:rsidR="00000000" w:rsidRPr="00000000">
        <w:rPr>
          <w:rtl w:val="0"/>
        </w:rPr>
        <w:t xml:space="preserve">, el cual consiste en abstraer la interacción con la interfaz de usuario en clases que representan cada página de la aplicación.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Cada Page Object contiene:</w:t>
      </w:r>
    </w:p>
    <w:p w:rsidR="00000000" w:rsidDel="00000000" w:rsidP="00000000" w:rsidRDefault="00000000" w:rsidRPr="00000000" w14:paraId="00000011">
      <w:pPr>
        <w:numPr>
          <w:ilvl w:val="0"/>
          <w:numId w:val="5"/>
        </w:numPr>
        <w:spacing w:after="0" w:afterAutospacing="0" w:before="240" w:lineRule="auto"/>
        <w:ind w:left="720" w:hanging="360"/>
        <w:jc w:val="both"/>
      </w:pPr>
      <w:r w:rsidDel="00000000" w:rsidR="00000000" w:rsidRPr="00000000">
        <w:rPr>
          <w:rtl w:val="0"/>
        </w:rPr>
        <w:t xml:space="preserve">Locators centralizados</w:t>
      </w:r>
    </w:p>
    <w:p w:rsidR="00000000" w:rsidDel="00000000" w:rsidP="00000000" w:rsidRDefault="00000000" w:rsidRPr="00000000" w14:paraId="00000012">
      <w:pPr>
        <w:numPr>
          <w:ilvl w:val="0"/>
          <w:numId w:val="5"/>
        </w:numPr>
        <w:spacing w:after="240" w:before="0" w:beforeAutospacing="0" w:lineRule="auto"/>
        <w:ind w:left="720" w:hanging="360"/>
        <w:jc w:val="both"/>
      </w:pPr>
      <w:r w:rsidDel="00000000" w:rsidR="00000000" w:rsidRPr="00000000">
        <w:rPr>
          <w:rtl w:val="0"/>
        </w:rPr>
        <w:t xml:space="preserve">Métodos que encapsulan acciones del usuario</w:t>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Beneficios:</w:t>
      </w:r>
    </w:p>
    <w:p w:rsidR="00000000" w:rsidDel="00000000" w:rsidP="00000000" w:rsidRDefault="00000000" w:rsidRPr="00000000" w14:paraId="00000014">
      <w:pPr>
        <w:numPr>
          <w:ilvl w:val="0"/>
          <w:numId w:val="4"/>
        </w:numPr>
        <w:spacing w:after="0" w:afterAutospacing="0" w:before="240" w:lineRule="auto"/>
        <w:ind w:left="720" w:hanging="360"/>
        <w:jc w:val="both"/>
      </w:pPr>
      <w:r w:rsidDel="00000000" w:rsidR="00000000" w:rsidRPr="00000000">
        <w:rPr>
          <w:rtl w:val="0"/>
        </w:rPr>
        <w:t xml:space="preserve">Reducción de duplicidad de código</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rtl w:val="0"/>
        </w:rPr>
        <w:t xml:space="preserve">Mayor mantenibilidad</w:t>
      </w:r>
    </w:p>
    <w:p w:rsidR="00000000" w:rsidDel="00000000" w:rsidP="00000000" w:rsidRDefault="00000000" w:rsidRPr="00000000" w14:paraId="00000016">
      <w:pPr>
        <w:numPr>
          <w:ilvl w:val="0"/>
          <w:numId w:val="4"/>
        </w:numPr>
        <w:spacing w:after="0" w:afterAutospacing="0" w:before="0" w:beforeAutospacing="0" w:lineRule="auto"/>
        <w:ind w:left="720" w:hanging="360"/>
        <w:jc w:val="both"/>
      </w:pPr>
      <w:r w:rsidDel="00000000" w:rsidR="00000000" w:rsidRPr="00000000">
        <w:rPr>
          <w:rtl w:val="0"/>
        </w:rPr>
        <w:t xml:space="preserve">Facilidad para actualizar cambios en la UI</w:t>
      </w:r>
    </w:p>
    <w:p w:rsidR="00000000" w:rsidDel="00000000" w:rsidP="00000000" w:rsidRDefault="00000000" w:rsidRPr="00000000" w14:paraId="00000017">
      <w:pPr>
        <w:numPr>
          <w:ilvl w:val="0"/>
          <w:numId w:val="4"/>
        </w:numPr>
        <w:spacing w:after="240" w:before="0" w:beforeAutospacing="0" w:lineRule="auto"/>
        <w:ind w:left="720" w:hanging="360"/>
        <w:jc w:val="both"/>
      </w:pPr>
      <w:r w:rsidDel="00000000" w:rsidR="00000000" w:rsidRPr="00000000">
        <w:rPr>
          <w:rtl w:val="0"/>
        </w:rPr>
        <w:t xml:space="preserve">Mejor organización del proyecto</w:t>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1ttd4emtovoz" w:id="4"/>
      <w:bookmarkEnd w:id="4"/>
      <w:r w:rsidDel="00000000" w:rsidR="00000000" w:rsidRPr="00000000">
        <w:rPr>
          <w:b w:val="1"/>
          <w:bCs w:val="1"/>
          <w:color w:val="000000"/>
          <w:sz w:val="26"/>
          <w:szCs w:val="26"/>
          <w:rtl w:val="0"/>
        </w:rPr>
        <w:t xml:space="preserve">2. Separation of Concerns (Separación de responsabilidades)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El proyecto está estructurado separando claramente:</w:t>
      </w:r>
    </w:p>
    <w:p w:rsidR="00000000" w:rsidDel="00000000" w:rsidP="00000000" w:rsidRDefault="00000000" w:rsidRPr="00000000" w14:paraId="0000001A">
      <w:pPr>
        <w:numPr>
          <w:ilvl w:val="0"/>
          <w:numId w:val="3"/>
        </w:numPr>
        <w:spacing w:after="0" w:afterAutospacing="0" w:before="240" w:lineRule="auto"/>
        <w:ind w:left="720" w:hanging="360"/>
        <w:jc w:val="both"/>
      </w:pPr>
      <w:r w:rsidDel="00000000" w:rsidR="00000000" w:rsidRPr="00000000">
        <w:rPr>
          <w:b w:val="1"/>
          <w:bCs w:val="1"/>
          <w:rtl w:val="0"/>
        </w:rPr>
        <w:t xml:space="preserve">Pages:</w:t>
      </w:r>
      <w:r w:rsidDel="00000000" w:rsidR="00000000" w:rsidRPr="00000000">
        <w:rPr>
          <w:rtl w:val="0"/>
        </w:rPr>
        <w:t xml:space="preserve"> lógica de interacción con la UI</w:t>
      </w:r>
    </w:p>
    <w:p w:rsidR="00000000" w:rsidDel="00000000" w:rsidP="00000000" w:rsidRDefault="00000000" w:rsidRPr="00000000" w14:paraId="0000001B">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Locators:</w:t>
      </w:r>
      <w:r w:rsidDel="00000000" w:rsidR="00000000" w:rsidRPr="00000000">
        <w:rPr>
          <w:rtl w:val="0"/>
        </w:rPr>
        <w:t xml:space="preserve"> definición de elementos</w:t>
      </w:r>
    </w:p>
    <w:p w:rsidR="00000000" w:rsidDel="00000000" w:rsidP="00000000" w:rsidRDefault="00000000" w:rsidRPr="00000000" w14:paraId="0000001C">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Steps:</w:t>
      </w:r>
      <w:r w:rsidDel="00000000" w:rsidR="00000000" w:rsidRPr="00000000">
        <w:rPr>
          <w:rtl w:val="0"/>
        </w:rPr>
        <w:t xml:space="preserve"> definición de pasos en Cucumber</w:t>
      </w:r>
    </w:p>
    <w:p w:rsidR="00000000" w:rsidDel="00000000" w:rsidP="00000000" w:rsidRDefault="00000000" w:rsidRPr="00000000" w14:paraId="0000001D">
      <w:pPr>
        <w:numPr>
          <w:ilvl w:val="0"/>
          <w:numId w:val="3"/>
        </w:numPr>
        <w:spacing w:after="240" w:before="0" w:beforeAutospacing="0" w:lineRule="auto"/>
        <w:ind w:left="720" w:hanging="360"/>
        <w:jc w:val="both"/>
      </w:pPr>
      <w:r w:rsidDel="00000000" w:rsidR="00000000" w:rsidRPr="00000000">
        <w:rPr>
          <w:b w:val="1"/>
          <w:bCs w:val="1"/>
          <w:rtl w:val="0"/>
        </w:rPr>
        <w:t xml:space="preserve">Hooks:</w:t>
      </w:r>
      <w:r w:rsidDel="00000000" w:rsidR="00000000" w:rsidRPr="00000000">
        <w:rPr>
          <w:rtl w:val="0"/>
        </w:rPr>
        <w:t xml:space="preserve"> configuración del entorno de ejecución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Este principio permite desacoplar la lógica, facilitando el mantenimiento y la escalabilidad.</w:t>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rPr>
      </w:pPr>
      <w:bookmarkStart w:colFirst="0" w:colLast="0" w:name="_u7ezvysptl5x" w:id="5"/>
      <w:bookmarkEnd w:id="5"/>
      <w:r w:rsidDel="00000000" w:rsidR="00000000" w:rsidRPr="00000000">
        <w:rPr>
          <w:b w:val="1"/>
          <w:bCs w:val="1"/>
          <w:color w:val="000000"/>
          <w:sz w:val="26"/>
          <w:szCs w:val="26"/>
          <w:rtl w:val="0"/>
        </w:rPr>
        <w:t xml:space="preserve">3. Context Sharing (World en Cucumber)</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Se utilizó el objeto </w:t>
      </w:r>
      <w:r w:rsidDel="00000000" w:rsidR="00000000" w:rsidRPr="00000000">
        <w:rPr>
          <w:rFonts w:ascii="Roboto Mono" w:cs="Roboto Mono" w:eastAsia="Roboto Mono" w:hAnsi="Roboto Mono"/>
          <w:color w:val="188038"/>
          <w:rtl w:val="0"/>
        </w:rPr>
        <w:t xml:space="preserve">World</w:t>
      </w:r>
      <w:r w:rsidDel="00000000" w:rsidR="00000000" w:rsidRPr="00000000">
        <w:rPr>
          <w:rtl w:val="0"/>
        </w:rPr>
        <w:t xml:space="preserve"> de Cucumber para compartir estado entre pasos, permitiendo:</w:t>
      </w:r>
    </w:p>
    <w:p w:rsidR="00000000" w:rsidDel="00000000" w:rsidP="00000000" w:rsidRDefault="00000000" w:rsidRPr="00000000" w14:paraId="00000021">
      <w:pPr>
        <w:numPr>
          <w:ilvl w:val="0"/>
          <w:numId w:val="1"/>
        </w:numPr>
        <w:spacing w:after="0" w:afterAutospacing="0" w:before="240" w:lineRule="auto"/>
        <w:ind w:left="720" w:hanging="360"/>
        <w:jc w:val="both"/>
      </w:pPr>
      <w:r w:rsidDel="00000000" w:rsidR="00000000" w:rsidRPr="00000000">
        <w:rPr>
          <w:rtl w:val="0"/>
        </w:rPr>
        <w:t xml:space="preserve">Almacenar datos dinámicos (ej. nombre del producto seleccionado)</w:t>
      </w:r>
    </w:p>
    <w:p w:rsidR="00000000" w:rsidDel="00000000" w:rsidP="00000000" w:rsidRDefault="00000000" w:rsidRPr="00000000" w14:paraId="00000022">
      <w:pPr>
        <w:numPr>
          <w:ilvl w:val="0"/>
          <w:numId w:val="1"/>
        </w:numPr>
        <w:spacing w:after="240" w:before="0" w:beforeAutospacing="0" w:lineRule="auto"/>
        <w:ind w:left="720" w:hanging="360"/>
        <w:jc w:val="both"/>
      </w:pPr>
      <w:r w:rsidDel="00000000" w:rsidR="00000000" w:rsidRPr="00000000">
        <w:rPr>
          <w:rtl w:val="0"/>
        </w:rPr>
        <w:t xml:space="preserve">Reutilizar información entre acciones y validaciones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Esto garantiza coherencia en los escenarios y evita dependencias externas o hardcodeo de datos.</w:t>
      </w:r>
    </w:p>
    <w:p w:rsidR="00000000" w:rsidDel="00000000" w:rsidP="00000000" w:rsidRDefault="00000000" w:rsidRPr="00000000" w14:paraId="00000024">
      <w:pPr>
        <w:pStyle w:val="Heading2"/>
        <w:keepNext w:val="0"/>
        <w:keepLines w:val="0"/>
        <w:spacing w:after="80" w:lineRule="auto"/>
        <w:jc w:val="both"/>
        <w:rPr>
          <w:b w:val="1"/>
          <w:bCs w:val="1"/>
          <w:sz w:val="34"/>
          <w:szCs w:val="34"/>
        </w:rPr>
      </w:pPr>
      <w:bookmarkStart w:colFirst="0" w:colLast="0" w:name="_b8jzojck6i1j" w:id="6"/>
      <w:bookmarkEnd w:id="6"/>
      <w:r w:rsidDel="00000000" w:rsidR="00000000" w:rsidRPr="00000000">
        <w:rPr>
          <w:b w:val="1"/>
          <w:bCs w:val="1"/>
          <w:sz w:val="34"/>
          <w:szCs w:val="34"/>
          <w:rtl w:val="0"/>
        </w:rPr>
        <w:t xml:space="preserve">Conclusión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La solución implementada sigue buenas prácticas de automatización modernas, combinando BDD con un diseño basado en patrones que favorecen la mantenibilidad, escalabilidad y claridad del framework. El uso de POM junto con la gestión adecuada del estado y validaciones dinámicas permite construir pruebas robustas y alineadas con los objetivos del negocio.</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