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PingFang TC" w:hAnsi="PingFang TC" w:eastAsia="PingFang TC"/>
          <w:color w:val="000000"/>
          <w:sz w:val="52"/>
        </w:rPr>
        <w:t>一年期品牌知識事業共建服務說明書</w:t>
      </w:r>
    </w:p>
    <w:p>
      <w:r>
        <w:rPr>
          <w:rFonts w:ascii="PingFang TC" w:hAnsi="PingFang TC" w:eastAsia="PingFang TC"/>
          <w:color w:val="595959"/>
          <w:sz w:val="22"/>
        </w:rPr>
        <w:t>Blessings Bakery｜2026/10/01–2027/09/30</w:t>
      </w:r>
    </w:p>
    <w:p/>
    <w:p>
      <w:r>
        <w:rPr>
          <w:rFonts w:ascii="PingFang TC" w:hAnsi="PingFang TC" w:eastAsia="PingFang TC"/>
        </w:rPr>
        <w:t>這份說明書把十二個月的實際工作、交付數量、平台、製作標準、責任分工與排除項目寫清楚。它是合作契約的服務附件；如與正式簽署契約衝突，以契約為準。</w:t>
      </w:r>
    </w:p>
    <w:p>
      <w:pPr>
        <w:pStyle w:val="Heading1"/>
      </w:pPr>
      <w:r>
        <w:rPr>
          <w:rFonts w:ascii="PingFang TC" w:hAnsi="PingFang TC" w:eastAsia="PingFang TC"/>
        </w:rPr>
        <w:t>一　合作目標</w:t>
      </w:r>
    </w:p>
    <w:p>
      <w:r>
        <w:rPr>
          <w:rFonts w:ascii="PingFang TC" w:hAnsi="PingFang TC" w:eastAsia="PingFang TC"/>
        </w:rPr>
        <w:t>Blessings Bakery 已有麵包產品、實體信任與烘焙專業。本案以提升品牌與麵包知名度為第一優先，再依序增加 YouTube 會員、課程收入與未來創業夥伴名單。每月由一個知識母題展開公開內容、免費教育、會員深度內容與課程，並以 Sourdough Taiwan 體驗銜接社區型烘焙坊計畫。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層級</w:t>
            </w:r>
          </w:p>
        </w:tc>
        <w:tc>
          <w:tcPr>
            <w:tcW w:type="dxa" w:w="468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正式定位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1　公開流量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旗艦長片、短影音、社群圖文與 SEO；CTA 為訂閱 YouTube、加入 LINE／Email、領取免費影片。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2　免費教育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基礎教學影片與 Sourdough Taiwan 基礎體驗。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3　快樂做麵包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3 天做出＿＿麵包；約 NT$3,500，每季一門，每門 10–15 位。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4　YouTube 會員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單一等級 NT$200–250／月；會員影片、旗艦延伸與每月直播問答。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5　科學做麵包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錄播系統＋解題諮詢；NT$20,000–30,000，每年 10 位。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平行路線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Sourdough Taiwan 社區型烘焙坊申請與貢獻解鎖系統。</w:t>
            </w:r>
          </w:p>
        </w:tc>
      </w:tr>
    </w:tbl>
    <w:p/>
    <w:p>
      <w:r>
        <w:rPr>
          <w:rFonts w:ascii="PingFang TC" w:hAnsi="PingFang TC" w:eastAsia="PingFang TC"/>
        </w:rPr>
        <w:t>產品名稱、定價與年度目標依雙方本次確認版本執行；如需變更，仍應以可留存的書面方式確認，不因口頭討論自動增加交付。</w:t>
      </w:r>
    </w:p>
    <w:p>
      <w:pPr>
        <w:pStyle w:val="Heading1"/>
      </w:pPr>
      <w:r>
        <w:rPr>
          <w:rFonts w:ascii="PingFang TC" w:hAnsi="PingFang TC" w:eastAsia="PingFang TC"/>
        </w:rPr>
        <w:t>二　期間、費用與工作節奏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3E8DC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b/>
                <w:sz w:val="18"/>
              </w:rPr>
              <w:t>階段</w:t>
            </w:r>
          </w:p>
        </w:tc>
        <w:tc>
          <w:tcPr>
            <w:tcW w:type="dxa" w:w="3120"/>
            <w:vAlign w:val="center"/>
            <w:shd w:fill="F3E8DC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b/>
                <w:sz w:val="18"/>
              </w:rPr>
              <w:t>日期</w:t>
            </w:r>
          </w:p>
        </w:tc>
        <w:tc>
          <w:tcPr>
            <w:tcW w:type="dxa" w:w="3120"/>
            <w:vAlign w:val="center"/>
            <w:shd w:fill="F3E8DC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b/>
                <w:sz w:val="18"/>
              </w:rPr>
              <w:t>內容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sz w:val="18"/>
              </w:rPr>
              <w:t>M0 無費用準備期</w:t>
            </w:r>
          </w:p>
        </w:tc>
        <w:tc>
          <w:tcPr>
            <w:tcW w:type="dxa" w:w="3120"/>
            <w:vAlign w:val="top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sz w:val="18"/>
              </w:rPr>
              <w:t>2026/09/01–09/30</w:t>
            </w:r>
          </w:p>
        </w:tc>
        <w:tc>
          <w:tcPr>
            <w:tcW w:type="dxa" w:w="3120"/>
            <w:vAlign w:val="top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sz w:val="18"/>
              </w:rPr>
              <w:t>資料與權限交接、現況基線、一次啟動會議、第一季執行規劃；沒有正式內容交付。</w:t>
            </w:r>
          </w:p>
        </w:tc>
      </w:tr>
      <w:tr>
        <w:tc>
          <w:tcPr>
            <w:tcW w:type="dxa" w:w="3120"/>
            <w:vAlign w:val="top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sz w:val="18"/>
              </w:rPr>
              <w:t>正式十二個月</w:t>
            </w:r>
          </w:p>
        </w:tc>
        <w:tc>
          <w:tcPr>
            <w:tcW w:type="dxa" w:w="3120"/>
            <w:vAlign w:val="top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sz w:val="18"/>
              </w:rPr>
              <w:t>2026/10/01–2027/09/30</w:t>
            </w:r>
          </w:p>
        </w:tc>
        <w:tc>
          <w:tcPr>
            <w:tcW w:type="dxa" w:w="3120"/>
            <w:vAlign w:val="top"/>
          </w:tcPr>
          <w:p>
            <w:pPr>
              <w:spacing w:after="60" w:line="252" w:lineRule="auto"/>
            </w:pPr>
            <w:r>
              <w:rPr>
                <w:rFonts w:ascii="PingFang TC" w:hAnsi="PingFang TC" w:eastAsia="PingFang TC"/>
                <w:sz w:val="18"/>
              </w:rPr>
              <w:t>每月 NT$29,000，月初預付；十二個月合計 NT$348,000。</w:t>
            </w:r>
          </w:p>
        </w:tc>
      </w:tr>
    </w:tbl>
    <w:p/>
    <w:p>
      <w:r>
        <w:rPr>
          <w:rFonts w:ascii="PingFang TC" w:hAnsi="PingFang TC" w:eastAsia="PingFang TC"/>
        </w:rPr>
        <w:t>首批正式內容預計於 2026 年 10 月中旬發布。十月仍完成完整月額度：4 支短影音、4 則社群圖文、1 支旗艦長片、6 支純會員影片、1 篇 SEO 文稿及 1 次會員直播。</w:t>
      </w:r>
    </w:p>
    <w:p>
      <w:pPr>
        <w:pStyle w:val="Heading1"/>
      </w:pPr>
      <w:r>
        <w:rPr>
          <w:rFonts w:ascii="PingFang TC" w:hAnsi="PingFang TC" w:eastAsia="PingFang TC"/>
        </w:rPr>
        <w:t>三　全年交付總表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服務項目</w:t>
            </w:r>
          </w:p>
        </w:tc>
        <w:tc>
          <w:tcPr>
            <w:tcW w:type="dxa" w:w="234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數量</w:t>
            </w:r>
          </w:p>
        </w:tc>
        <w:tc>
          <w:tcPr>
            <w:tcW w:type="dxa" w:w="234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成品規格</w:t>
            </w:r>
          </w:p>
        </w:tc>
        <w:tc>
          <w:tcPr>
            <w:tcW w:type="dxa" w:w="234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主要責任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短影音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48 支／每月 4 支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直式、原則 60 秒內、全程字幕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乙方企劃拍攝剪輯；甲方確認專業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社群圖文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48 則／每月 4 則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同題適配 IG／FB／Threads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乙方撰寫與排程；甲方確認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公開旗艦長片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12 支／每月 1 支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月度母題；重點字幕與章節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乙方製作；甲方主講與確認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純會員影片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72 支／每月 6 支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會員專區深度內容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乙方製作；甲方示範與答覆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會員直播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12 次／每月 1 次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會員可參與並發問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甲方主講；乙方主題與宣傳協作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網站／SEO 文稿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12 篇／每月 1 篇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依月度主題與搜尋需求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乙方交稿；甲方上架與技術維護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入門課程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4 門／每季 1 門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3 天做出＿＿麵包系列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乙方錄製剪輯；甲方教學與專業確認</w:t>
            </w:r>
          </w:p>
        </w:tc>
      </w:tr>
      <w:tr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集中拍攝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12 個工作日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原則每月 1 日</w:t>
            </w:r>
          </w:p>
        </w:tc>
        <w:tc>
          <w:tcPr>
            <w:tcW w:type="dxa" w:w="234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雙方共同排程與準備</w:t>
            </w:r>
          </w:p>
        </w:tc>
      </w:tr>
    </w:tbl>
    <w:p/>
    <w:p>
      <w:pPr>
        <w:pStyle w:val="Heading1"/>
      </w:pPr>
      <w:r>
        <w:rPr>
          <w:rFonts w:ascii="PingFang TC" w:hAnsi="PingFang TC" w:eastAsia="PingFang TC"/>
        </w:rPr>
        <w:t>四　月度公開內容</w:t>
      </w:r>
    </w:p>
    <w:p>
      <w:r>
        <w:rPr>
          <w:rFonts w:ascii="PingFang TC" w:hAnsi="PingFang TC" w:eastAsia="PingFang TC"/>
        </w:rPr>
        <w:t>一、每月固定完成 1 支公開旗艦長片、4 支短影音、4 則社群圖文與 1 篇 SEO 文稿；全年分別為 12、48、48 與 12 件。各月額度不因素材多寡自動跨月增減。</w:t>
      </w:r>
    </w:p>
    <w:p>
      <w:r>
        <w:rPr>
          <w:rFonts w:ascii="PingFang TC" w:hAnsi="PingFang TC" w:eastAsia="PingFang TC"/>
        </w:rPr>
        <w:t>二、短影音以 Instagram Reels、Facebook Reels、YouTube Shorts 為主要平台；社群內容同題適配 Instagram、Facebook、Threads；旗艦長片發布於 YouTube；SEO 文稿由乙方交稿、甲方負責網站上架與技術維護。</w:t>
      </w:r>
    </w:p>
    <w:p>
      <w:r>
        <w:rPr>
          <w:rFonts w:ascii="PingFang TC" w:hAnsi="PingFang TC" w:eastAsia="PingFang TC"/>
        </w:rPr>
        <w:t>三、每月以一個知識母題統整企劃、集中拍攝與多平台轉譯。短影音包含剪輯、基本聲音處理、全程字幕與必要封面；社群圖文及 SEO 為同題延伸，不代表完全不同的獨立研究專案。</w:t>
      </w:r>
    </w:p>
    <w:p>
      <w:r>
        <w:rPr>
          <w:rFonts w:ascii="PingFang TC" w:hAnsi="PingFang TC" w:eastAsia="PingFang TC"/>
        </w:rPr>
        <w:t>四、不包含大型劇情製作、複雜動畫、3D、專業科學圖解、多機位精修、外景演員、額外配音或重新拍攝。若內容需要食品、營養或療效主張，甲方應提供合法正確的依據。</w:t>
      </w:r>
    </w:p>
    <w:p>
      <w:pPr>
        <w:pStyle w:val="Heading1"/>
      </w:pPr>
      <w:r>
        <w:rPr>
          <w:rFonts w:ascii="PingFang TC" w:hAnsi="PingFang TC" w:eastAsia="PingFang TC"/>
        </w:rPr>
        <w:t>五　YouTube 會員內容與直播</w:t>
      </w:r>
    </w:p>
    <w:p>
      <w:r>
        <w:rPr>
          <w:rFonts w:ascii="PingFang TC" w:hAnsi="PingFang TC" w:eastAsia="PingFang TC"/>
        </w:rPr>
        <w:t>一、會員主要服務想在家做麵包者與進階烘焙學習者。採單一等級，暫定每月 NT$200–250；2026 年底目標 40 位、2027 年底目標 100 位付費會員，但會員數屬商業目標而非乙方保證成果。</w:t>
      </w:r>
    </w:p>
    <w:p>
      <w:r>
        <w:rPr>
          <w:rFonts w:ascii="PingFang TC" w:hAnsi="PingFang TC" w:eastAsia="PingFang TC"/>
        </w:rPr>
        <w:t>二、每月交付 6 支純會員影片，另包含當月旗艦長片延伸內容及 1 次可發問的會員直播；全年純會員影片 72 支、會員直播 12 次。</w:t>
      </w:r>
    </w:p>
    <w:p>
      <w:r>
        <w:rPr>
          <w:rFonts w:ascii="PingFang TC" w:hAnsi="PingFang TC" w:eastAsia="PingFang TC"/>
        </w:rPr>
        <w:t>三、甲方擔任直播主講與專業答覆者，乙方負責月度主題整合、宣傳素材與回放整理。入門課學員可旁聽但不含提問權；會員不包含完整個人診斷、全面配方修改或一對一無限制顧問。</w:t>
      </w:r>
    </w:p>
    <w:p>
      <w:pPr>
        <w:pStyle w:val="Heading1"/>
      </w:pPr>
      <w:r>
        <w:rPr>
          <w:rFonts w:ascii="PingFang TC" w:hAnsi="PingFang TC" w:eastAsia="PingFang TC"/>
        </w:rPr>
        <w:t>六　快樂做麵包與科學做麵包</w:t>
      </w:r>
    </w:p>
    <w:p>
      <w:r>
        <w:rPr>
          <w:rFonts w:ascii="PingFang TC" w:hAnsi="PingFang TC" w:eastAsia="PingFang TC"/>
        </w:rPr>
        <w:t>一、『3 天做出＿＿麵包』為快樂做麵包入門系列，預計約 NT$3,500；每季開發一門、全年 4 門，每門理想招收 10–15 位。乙方負責課程企劃協作、錄製與剪輯，實際章節數依教學需求確認。</w:t>
      </w:r>
    </w:p>
    <w:p>
      <w:r>
        <w:rPr>
          <w:rFonts w:ascii="PingFang TC" w:hAnsi="PingFang TC" w:eastAsia="PingFang TC"/>
        </w:rPr>
        <w:t>二、科學做麵包採錄播系統課程加直播解題諮詢，預計約 NT$20,000–30,000，每年以 10 位為服務上限，目標為協助學員逐步開發自己的酸麵包產品。其完整課程另依雙方排程與內容規格執行。</w:t>
      </w:r>
    </w:p>
    <w:p>
      <w:r>
        <w:rPr>
          <w:rFonts w:ascii="PingFang TC" w:hAnsi="PingFang TC" w:eastAsia="PingFang TC"/>
        </w:rPr>
        <w:t>三、課程採實用型精簡後製：基本剪輯、聲音與色彩整理、重點字幕及章節。不包含全片人工逐字校對、複雜動畫、專業科學圖解、多機精修、大量特效或額外棚拍。</w:t>
      </w:r>
    </w:p>
    <w:p>
      <w:r>
        <w:rPr>
          <w:rFonts w:ascii="PingFang TC" w:hAnsi="PingFang TC" w:eastAsia="PingFang TC"/>
        </w:rPr>
        <w:t>四、科學做麵包與社區型烘焙坊為可交會但不互相綁定的路線；完成科學做麵包不是申請社區型烘焙坊的必要條件。</w:t>
      </w:r>
    </w:p>
    <w:p>
      <w:pPr>
        <w:pStyle w:val="Heading1"/>
      </w:pPr>
      <w:r>
        <w:rPr>
          <w:rFonts w:ascii="PingFang TC" w:hAnsi="PingFang TC" w:eastAsia="PingFang TC"/>
        </w:rPr>
        <w:t>七　LINE／Email 名單與免費教育</w:t>
      </w:r>
    </w:p>
    <w:p>
      <w:r>
        <w:rPr>
          <w:rFonts w:ascii="PingFang TC" w:hAnsi="PingFang TC" w:eastAsia="PingFang TC"/>
        </w:rPr>
        <w:t>公開內容主要 CTA 依序為訂閱 YouTube、加入 LINE／Email 及領取基礎教學影片。乙方負責名單內容規劃與經營；帳號、寄信平台、網站表單、個資告知與技術串接由甲方提供或負責。</w:t>
      </w:r>
    </w:p>
    <w:p>
      <w:pPr>
        <w:pStyle w:val="Heading1"/>
      </w:pPr>
      <w:r>
        <w:rPr>
          <w:rFonts w:ascii="PingFang TC" w:hAnsi="PingFang TC" w:eastAsia="PingFang TC"/>
        </w:rPr>
        <w:t>八　Sourdough Taiwan 體驗與社區型烘焙坊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甲方負責</w:t>
            </w:r>
          </w:p>
        </w:tc>
        <w:tc>
          <w:tcPr>
            <w:tcW w:type="dxa" w:w="468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乙方負責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烘焙專業與內容確認；直播主講；自動化銷售系統；網站內容上架與維護；ERP 建構。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短影音、旗艦長片、會員影片、社群圖文、SEO 文案、課程錄製與剪輯，以及 LINE／Email 名單經營。</w:t>
            </w:r>
          </w:p>
        </w:tc>
      </w:tr>
    </w:tbl>
    <w:p>
      <w:r>
        <w:rPr>
          <w:rFonts w:ascii="PingFang TC" w:hAnsi="PingFang TC" w:eastAsia="PingFang TC"/>
        </w:rPr>
        <w:t>Sourdough Taiwan 每月舉辦一場基礎體驗，線上與實體月份交替；皆收取材料費 NT$500，實體需有適合場地設備並以 6–8 人開班。體驗、既有業者與科學做麵包學員皆可另行申請成為社區型烘焙坊夥伴。基本承諾為使用台灣小麥、固定販售認證酸麵包、向總部採購指定原料，以及回報銷售並提供優化。依銷量、採購與貢獻逐步解鎖黑麥、布里歐及免費輔導。體驗課實際教學、材料、場地與營運執行成本不含於本案內容製作月費。</w:t>
      </w:r>
    </w:p>
    <w:p>
      <w:pPr>
        <w:pStyle w:val="Heading1"/>
      </w:pPr>
      <w:r>
        <w:rPr>
          <w:rFonts w:ascii="PingFang TC" w:hAnsi="PingFang TC" w:eastAsia="PingFang TC"/>
        </w:rPr>
        <w:t>九　拍攝、交通與住宿</w:t>
      </w:r>
    </w:p>
    <w:p>
      <w:r>
        <w:rPr>
          <w:rFonts w:ascii="PingFang TC" w:hAnsi="PingFang TC" w:eastAsia="PingFang TC"/>
        </w:rPr>
        <w:t>一、全年 12 個集中拍攝工作日，原則每月 1 日。可依雙方行程前後移動或累積，但任一時間最多累積 2 日，且應在原月份後 3 個月內使用。</w:t>
      </w:r>
    </w:p>
    <w:p>
      <w:r>
        <w:rPr>
          <w:rFonts w:ascii="PingFang TC" w:hAnsi="PingFang TC" w:eastAsia="PingFang TC"/>
        </w:rPr>
        <w:t>二、因甲方因素到期未用者失效；因乙方因素未完成者補拍或協議順延。甲方於拍攝日前 7 日內取消，原則視為已使用；不可抗力除外。遲到或超時不自動延長工作日。</w:t>
      </w:r>
    </w:p>
    <w:p>
      <w:r>
        <w:rPr>
          <w:rFonts w:ascii="PingFang TC" w:hAnsi="PingFang TC" w:eastAsia="PingFang TC"/>
        </w:rPr>
        <w:t>三、每月一次往返竹北含於月費。區域行程可能三天兩夜，但本案只計其中一個拍攝工作日；住宿與其他日期不屬服務工時。甲方原則提供工作室住宿。增加往返、其他縣市、棚租、器材、臨時外拍或無法提供住宿時另議。</w:t>
      </w:r>
    </w:p>
    <w:p>
      <w:pPr>
        <w:pStyle w:val="Heading1"/>
      </w:pPr>
      <w:r>
        <w:rPr>
          <w:rFonts w:ascii="PingFang TC" w:hAnsi="PingFang TC" w:eastAsia="PingFang TC"/>
        </w:rPr>
        <w:t>十　每月製作流程與責任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步驟</w:t>
            </w:r>
          </w:p>
        </w:tc>
        <w:tc>
          <w:tcPr>
            <w:tcW w:type="dxa" w:w="4680"/>
            <w:vAlign w:val="center"/>
            <w:shd w:fill="F3E8DC"/>
          </w:tcPr>
          <w:p>
            <w:r>
              <w:rPr>
                <w:rFonts w:ascii="PingFang TC" w:hAnsi="PingFang TC" w:eastAsia="PingFang TC"/>
              </w:rPr>
              <w:t>雙方工作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1　規劃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乙方依數據與產品節點提出月度母題；甲方確認專業、產品與銷售資訊。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2　準備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甲方備妥產品、材料、場地與必要權限；乙方整理腳本與拍攝表。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3　拍攝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集中取得短影音、會員、旗艦與課程素材。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4　製作與確認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乙方交初版；甲方 7 個工作日內一次彙整意見。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5　發布與紀錄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乙方依權限發布社群／影音或交付；甲方負責網站上架，雙方更新進度表。</w:t>
            </w:r>
          </w:p>
        </w:tc>
      </w:tr>
      <w:tr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6　檢核</w:t>
            </w:r>
          </w:p>
        </w:tc>
        <w:tc>
          <w:tcPr>
            <w:tcW w:type="dxa" w:w="4680"/>
          </w:tcPr>
          <w:p>
            <w:pPr>
              <w:spacing w:after="40"/>
            </w:pPr>
            <w:r>
              <w:rPr>
                <w:rFonts w:ascii="PingFang TC" w:hAnsi="PingFang TC" w:eastAsia="PingFang TC"/>
              </w:rPr>
              <w:t>每月檢查觸及、訂閱、名單、會員與購買；每季檢查課程與工坊招募。</w:t>
            </w:r>
          </w:p>
        </w:tc>
      </w:tr>
    </w:tbl>
    <w:p/>
    <w:p>
      <w:pPr>
        <w:pStyle w:val="Heading1"/>
      </w:pPr>
      <w:r>
        <w:rPr>
          <w:rFonts w:ascii="PingFang TC" w:hAnsi="PingFang TC" w:eastAsia="PingFang TC"/>
        </w:rPr>
        <w:t>十一　修改與驗收</w:t>
      </w:r>
    </w:p>
    <w:p>
      <w:r>
        <w:rPr>
          <w:rFonts w:ascii="PingFang TC" w:hAnsi="PingFang TC" w:eastAsia="PingFang TC"/>
        </w:rPr>
        <w:t>短影音、社群圖文、SEO 文稿、純會員影片、旗艦長片與課程影片，每件包含 2 次整合修改。甲方應於收到後 7 個工作日內一次彙整；逾期視為該版確認。免費修改限錯字、字幕、合理節奏與已確認方向的小幅調整。換題、推翻腳本、大幅重剪、重拍、新增版本或規格、複雜動畫與圖解均另議。</w:t>
      </w:r>
    </w:p>
    <w:p>
      <w:pPr>
        <w:pStyle w:val="Heading1"/>
      </w:pPr>
      <w:r>
        <w:rPr>
          <w:rFonts w:ascii="PingFang TC" w:hAnsi="PingFang TC" w:eastAsia="PingFang TC"/>
        </w:rPr>
        <w:t>十二　檔案交付與保存</w:t>
      </w:r>
    </w:p>
    <w:p>
      <w:r>
        <w:rPr>
          <w:rFonts w:ascii="PingFang TC" w:hAnsi="PingFang TC" w:eastAsia="PingFang TC"/>
        </w:rPr>
        <w:t>正式成品以網路硬碟、專案進度表或指定平台交付。正式成片與原始拍攝素材保存至正式契約期滿；期滿或終止後提供 30 日下載／移轉窗口，甲方應自行完整備份。期限後乙方可刪除。剪輯專案檔、工作模板、付費字型／外掛及未採用草稿不在一般移交範圍。</w:t>
      </w:r>
    </w:p>
    <w:p>
      <w:pPr>
        <w:pStyle w:val="Heading1"/>
      </w:pPr>
      <w:r>
        <w:rPr>
          <w:rFonts w:ascii="PingFang TC" w:hAnsi="PingFang TC" w:eastAsia="PingFang TC"/>
        </w:rPr>
        <w:t>十三　不包含與另行報價</w:t>
      </w:r>
    </w:p>
    <w:p>
      <w:pPr>
        <w:pStyle w:val="ListBullet"/>
      </w:pPr>
      <w:r>
        <w:rPr>
          <w:rFonts w:ascii="PingFang TC" w:hAnsi="PingFang TC" w:eastAsia="PingFang TC"/>
        </w:rPr>
        <w:t>廣告預算與媒體採買；網域、主機、網站、課程、電子郵件、金流等平台費。</w:t>
      </w:r>
    </w:p>
    <w:p>
      <w:pPr>
        <w:pStyle w:val="ListBullet"/>
      </w:pPr>
      <w:r>
        <w:rPr>
          <w:rFonts w:ascii="PingFang TC" w:hAnsi="PingFang TC" w:eastAsia="PingFang TC"/>
        </w:rPr>
        <w:t>網站設計、程式開發、技術 SEO、銷售自動化、ERP、金流串接、客服、出貨、退款、稅務及課程平台日常營運。</w:t>
      </w:r>
    </w:p>
    <w:p>
      <w:pPr>
        <w:pStyle w:val="ListBullet"/>
      </w:pPr>
      <w:r>
        <w:rPr>
          <w:rFonts w:ascii="PingFang TC" w:hAnsi="PingFang TC" w:eastAsia="PingFang TC"/>
        </w:rPr>
        <w:t>超出 12 個拍攝工作日、額外往返或地點、棚租、演員、配音、特殊器材與第三方授權。</w:t>
      </w:r>
    </w:p>
    <w:p>
      <w:pPr>
        <w:pStyle w:val="ListBullet"/>
      </w:pPr>
      <w:r>
        <w:rPr>
          <w:rFonts w:ascii="PingFang TC" w:hAnsi="PingFang TC" w:eastAsia="PingFang TC"/>
        </w:rPr>
        <w:t>超出約定數量的內容；逐字稿、重大研究、重新定位、整批重拍或重製。</w:t>
      </w:r>
    </w:p>
    <w:p>
      <w:pPr>
        <w:pStyle w:val="ListBullet"/>
      </w:pPr>
      <w:r>
        <w:rPr>
          <w:rFonts w:ascii="PingFang TC" w:hAnsi="PingFang TC" w:eastAsia="PingFang TC"/>
        </w:rPr>
        <w:t>直播固定現場導播、多機直播、額外場地、器材與技術值守；Sourdough Taiwan 體驗課之教學、材料、場地與活動執行成本。</w:t>
      </w:r>
    </w:p>
    <w:p>
      <w:pPr>
        <w:pStyle w:val="ListBullet"/>
      </w:pPr>
      <w:r>
        <w:rPr>
          <w:rFonts w:ascii="PingFang TC" w:hAnsi="PingFang TC" w:eastAsia="PingFang TC"/>
        </w:rPr>
        <w:t>複雜動畫、3D、科學圖解、多機精修、大量特效與全片人工逐字字幕。</w:t>
      </w:r>
    </w:p>
    <w:p>
      <w:pPr>
        <w:pStyle w:val="Heading1"/>
      </w:pPr>
      <w:r>
        <w:rPr>
          <w:rFonts w:ascii="PingFang TC" w:hAnsi="PingFang TC" w:eastAsia="PingFang TC"/>
        </w:rPr>
        <w:t>十四　成效檢核與責任邊界</w:t>
      </w:r>
    </w:p>
    <w:p>
      <w:r>
        <w:rPr>
          <w:rFonts w:ascii="PingFang TC" w:hAnsi="PingFang TC" w:eastAsia="PingFang TC"/>
        </w:rPr>
        <w:t>乙方負責完成約定的內容策略、影音、課程製作、SEO、名單經營與執行紀錄；甲方負責產品品質、專業正確性、銷售自動化、網站上架維護、ERP、直播與實際履約。雙方以觀看、訂閱、名單、會員、購買、使用、完成與工坊申請等實際訊號共同判斷。</w:t>
      </w:r>
    </w:p>
    <w:p>
      <w:r>
        <w:rPr>
          <w:rFonts w:ascii="PingFang TC" w:hAnsi="PingFang TC" w:eastAsia="PingFang TC"/>
        </w:rPr>
        <w:t>乙方不保證觀看數、粉絲數、會員數、續訂率、搜尋排名、來店量、營收或課程銷售。平台政策、演算法、帳號狀況、甲方決策、產品與市場變化均可能影響成果。</w:t>
      </w:r>
    </w:p>
    <w:p>
      <w:pPr>
        <w:pStyle w:val="Heading1"/>
      </w:pPr>
      <w:r>
        <w:rPr>
          <w:rFonts w:ascii="PingFang TC" w:hAnsi="PingFang TC" w:eastAsia="PingFang TC"/>
        </w:rPr>
        <w:t>十五　完成後留下的資產</w:t>
      </w:r>
    </w:p>
    <w:p>
      <w:pPr>
        <w:pStyle w:val="ListBullet"/>
      </w:pPr>
      <w:r>
        <w:rPr>
          <w:rFonts w:ascii="PingFang TC" w:hAnsi="PingFang TC" w:eastAsia="PingFang TC"/>
        </w:rPr>
        <w:t>12 個月度主題、12 支旗艦長片、48 支短影音、48 則社群圖文與 12 篇 SEO 文稿。</w:t>
      </w:r>
    </w:p>
    <w:p>
      <w:pPr>
        <w:pStyle w:val="ListBullet"/>
      </w:pPr>
      <w:r>
        <w:rPr>
          <w:rFonts w:ascii="PingFang TC" w:hAnsi="PingFang TC" w:eastAsia="PingFang TC"/>
        </w:rPr>
        <w:t>72 支純會員影片、12 次會員直播與旗艦延伸內容。</w:t>
      </w:r>
    </w:p>
    <w:p>
      <w:pPr>
        <w:pStyle w:val="ListBullet"/>
      </w:pPr>
      <w:r>
        <w:rPr>
          <w:rFonts w:ascii="PingFang TC" w:hAnsi="PingFang TC" w:eastAsia="PingFang TC"/>
        </w:rPr>
        <w:t>每季一門、全年 4 門的『3 天做出＿＿麵包』入門課程資產。</w:t>
      </w:r>
    </w:p>
    <w:p>
      <w:pPr>
        <w:pStyle w:val="ListBullet"/>
      </w:pPr>
      <w:r>
        <w:rPr>
          <w:rFonts w:ascii="PingFang TC" w:hAnsi="PingFang TC" w:eastAsia="PingFang TC"/>
        </w:rPr>
        <w:t>由公開流量、免費教育、入門課、會員、科學做麵包與社區型烘焙坊構成的完整事業路徑。</w:t>
      </w:r>
    </w:p>
    <w:p>
      <w:pPr>
        <w:pStyle w:val="ListBullet"/>
      </w:pPr>
      <w:r>
        <w:rPr>
          <w:rFonts w:ascii="PingFang TC" w:hAnsi="PingFang TC" w:eastAsia="PingFang TC"/>
        </w:rPr>
        <w:t>Sourdough Taiwan 體驗、工坊申請、基本承諾、貢獻解鎖與十年 200 家擴張架構。</w:t>
      </w:r>
    </w:p>
    <w:p>
      <w:pPr>
        <w:pStyle w:val="ListBullet"/>
      </w:pPr>
      <w:r>
        <w:rPr>
          <w:rFonts w:ascii="PingFang TC" w:hAnsi="PingFang TC" w:eastAsia="PingFang TC"/>
        </w:rPr>
        <w:t>可由 Blessings Bakery 持續使用的正式成品、文稿與執行紀錄。</w:t>
      </w:r>
    </w:p>
    <w:p>
      <w:r>
        <w:rPr>
          <w:rFonts w:ascii="PingFang TC" w:hAnsi="PingFang TC" w:eastAsia="PingFang TC"/>
        </w:rPr>
        <w:t>本服務說明書為合作契約附件。付款、智慧財產、保密、終止、不可抗力與爭議處理等權利義務，以雙方正式簽署之合作契約為準。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PingFang TC" w:hAnsi="PingFang TC" w:eastAsia="PingFang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TC" w:hAnsi="PingFang TC" w:eastAsia="PingFang T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PingFang TC" w:hAnsi="PingFang TC" w:eastAsia="PingFang T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PingFang TC" w:hAnsi="PingFang TC" w:eastAsia="PingFang T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PingFang TC" w:hAnsi="PingFang TC" w:eastAsia="PingFang T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TC" w:hAnsi="PingFang TC" w:eastAsia="PingFang T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PingFang TC" w:hAnsi="PingFang TC" w:eastAsia="PingFang TC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PingFang TC" w:hAnsi="PingFang TC" w:eastAsia="PingFang TC"/>
      <w:b/>
      <w:bCs/>
      <w:color w:val="59595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PingFang TC" w:hAnsi="PingFang TC" w:eastAsia="PingFang T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PingFang TC" w:hAnsi="PingFang TC" w:eastAsia="PingFang T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PingFang TC" w:hAnsi="PingFang TC" w:eastAsia="PingFang T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PingFang TC" w:hAnsi="PingFang TC" w:eastAsia="PingFang T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PingFang TC" w:hAnsi="PingFang TC" w:eastAsia="PingFang T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PingFang TC" w:hAnsi="PingFang TC" w:eastAsia="PingFang T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PingFang TC" w:hAnsi="PingFang TC" w:eastAsia="PingFang TC"/>
    </w:rPr>
  </w:style>
  <w:style w:type="table" w:default="1" w:styleId="TableNormal">
    <w:name w:val="Normal Table"/>
    <w:uiPriority w:val="99"/>
    <w:semiHidden/>
    <w:unhideWhenUsed/>
    <w:rPr>
      <w:rFonts w:ascii="PingFang TC" w:hAnsi="PingFang TC" w:eastAsia="PingFang T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PingFang TC" w:hAnsi="PingFang TC" w:eastAsia="PingFang T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PingFang TC" w:hAnsi="PingFang TC" w:eastAsia="PingFang T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PingFang TC" w:hAnsi="PingFang TC" w:eastAsia="PingFang T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PingFang TC" w:hAnsi="PingFang TC" w:eastAsia="PingFang T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PingFang TC" w:hAnsi="PingFang TC" w:eastAsia="PingFang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PingFang TC" w:hAnsi="PingFang TC" w:eastAsia="PingFang T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PingFang TC" w:hAnsi="PingFang TC" w:eastAsia="PingFang T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PingFang TC" w:hAnsi="PingFang TC" w:eastAsia="PingFang T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PingFang TC" w:hAnsi="PingFang TC" w:eastAsia="PingFang T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PingFang TC" w:hAnsi="PingFang TC" w:eastAsia="PingFang T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PingFang TC" w:hAnsi="PingFang TC" w:eastAsia="PingFang T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PingFang TC" w:hAnsi="PingFang TC" w:eastAsia="PingFang T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PingFang TC" w:hAnsi="PingFang TC" w:eastAsia="PingFang T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PingFang TC" w:hAnsi="PingFang TC" w:eastAsia="PingFang T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PingFang TC" w:hAnsi="PingFang TC" w:eastAsia="PingFang T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PingFang TC" w:hAnsi="PingFang TC" w:eastAsia="PingFang T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PingFang TC" w:hAnsi="PingFang TC" w:eastAsia="PingFang T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PingFang TC" w:hAnsi="PingFang TC" w:eastAsia="PingFang T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ingFang TC" w:hAnsi="PingFang TC" w:eastAsia="PingFang T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PingFang TC" w:hAnsi="PingFang TC" w:eastAsia="PingFang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PingFang TC" w:hAnsi="PingFang TC" w:eastAsia="PingFang T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PingFang TC" w:hAnsi="PingFang TC" w:eastAsia="PingFang T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PingFang TC" w:hAnsi="PingFang TC" w:eastAsia="PingFang T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PingFang TC" w:hAnsi="PingFang TC" w:eastAsia="PingFang T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PingFang TC" w:hAnsi="PingFang TC" w:eastAsia="PingFang T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PingFang TC" w:hAnsi="PingFang TC" w:eastAsia="PingFang T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PingFang TC" w:hAnsi="PingFang TC" w:eastAsia="PingFang T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PingFang TC" w:hAnsi="PingFang TC" w:eastAsia="PingFang T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PingFang TC" w:hAnsi="PingFang TC" w:eastAsia="PingFang T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PingFang TC" w:hAnsi="PingFang TC" w:eastAsia="PingFang T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PingFang TC" w:hAnsi="PingFang TC" w:eastAsia="PingFang T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PingFang TC" w:hAnsi="PingFang TC" w:eastAsia="PingFang T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PingFang TC" w:hAnsi="PingFang TC" w:eastAsia="PingFang T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PingFang TC" w:hAnsi="PingFang TC" w:eastAsia="PingFang T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PingFang TC" w:hAnsi="PingFang TC" w:eastAsia="PingFang T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PingFang TC" w:hAnsi="PingFang TC" w:eastAsia="PingFang T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PingFang TC" w:hAnsi="PingFang TC" w:eastAsia="PingFang T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PingFang TC" w:hAnsi="PingFang TC" w:eastAsia="PingFang T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PingFang TC" w:hAnsi="PingFang TC" w:eastAsia="PingFang T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PingFang TC" w:hAnsi="PingFang TC" w:eastAsia="PingFang T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PingFang TC" w:hAnsi="PingFang TC" w:eastAsia="PingFang T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PingFang TC" w:hAnsi="PingFang TC" w:eastAsia="PingFang T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PingFang TC" w:hAnsi="PingFang TC" w:eastAsia="PingFang T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PingFang TC" w:hAnsi="PingFang TC" w:eastAsia="PingFang T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PingFang TC" w:hAnsi="PingFang TC" w:eastAsia="PingFang T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PingFang TC" w:hAnsi="PingFang TC" w:eastAsia="PingFang T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PingFang TC" w:hAnsi="PingFang TC" w:eastAsia="PingFang T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PingFang TC" w:hAnsi="PingFang TC" w:eastAsia="PingFang T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PingFang TC" w:hAnsi="PingFang TC" w:eastAsia="PingFang T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PingFang TC" w:hAnsi="PingFang TC" w:eastAsia="PingFang T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PingFang TC" w:hAnsi="PingFang TC" w:eastAsia="PingFang T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PingFang TC" w:hAnsi="PingFang TC" w:eastAsia="PingFang T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PingFang TC" w:hAnsi="PingFang TC" w:eastAsia="PingFang T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PingFang TC" w:hAnsi="PingFang TC" w:eastAsia="PingFang T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PingFang TC" w:hAnsi="PingFang TC" w:eastAsia="PingFang T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PingFang TC" w:hAnsi="PingFang TC" w:eastAsia="PingFang T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PingFang TC" w:hAnsi="PingFang TC" w:eastAsia="PingFang T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PingFang TC" w:hAnsi="PingFang TC" w:eastAsia="PingFang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PingFang TC" w:hAnsi="PingFang TC" w:eastAsia="PingFang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PingFang TC" w:hAnsi="PingFang TC" w:eastAsia="PingFang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PingFang TC" w:hAnsi="PingFang TC" w:eastAsia="PingFang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PingFang TC" w:hAnsi="PingFang TC" w:eastAsia="PingFang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PingFang TC" w:hAnsi="PingFang TC" w:eastAsia="PingFang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PingFang TC" w:hAnsi="PingFang TC" w:eastAsia="PingFang T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PingFang TC" w:hAnsi="PingFang TC" w:eastAsia="PingFang T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