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69" w:lineRule="auto"/>
      </w:pPr>
      <w:r>
        <w:rPr>
          <w:rFonts w:ascii="Calibri" w:hAnsi="Calibri" w:eastAsia="Calibri"/>
          <w:b/>
          <w:i w:val="0"/>
          <w:color w:val="0F6E6E"/>
          <w:sz w:val="22"/>
        </w:rPr>
        <w:t>DISCUSSION TRANSCRIPT</w:t>
      </w:r>
    </w:p>
    <w:p>
      <w:pPr>
        <w:spacing w:before="0" w:after="80" w:line="252" w:lineRule="auto"/>
      </w:pPr>
      <w:r>
        <w:rPr>
          <w:rFonts w:ascii="Calibri" w:hAnsi="Calibri" w:eastAsia="Calibri"/>
          <w:b/>
          <w:i w:val="0"/>
          <w:color w:val="1B3A4B"/>
          <w:sz w:val="44"/>
        </w:rPr>
        <w:t>Trading and allocating advisory orders across Apex Legacy and Apex Ascend</w:t>
      </w:r>
    </w:p>
    <w:p>
      <w:pPr>
        <w:spacing w:before="0" w:after="160" w:line="269" w:lineRule="auto"/>
      </w:pPr>
      <w:r>
        <w:rPr>
          <w:rFonts w:ascii="Calibri" w:hAnsi="Calibri" w:eastAsia="Calibri"/>
          <w:b w:val="0"/>
          <w:i/>
          <w:color w:val="0F6E6E"/>
          <w:sz w:val="24"/>
        </w:rPr>
        <w:t>Four trading windows, average-price accounts, and a possible step-out between DTC participant numbers.</w:t>
      </w:r>
    </w:p>
    <w:p>
      <w:pPr>
        <w:spacing w:before="0" w:after="120" w:line="269" w:lineRule="auto"/>
      </w:pPr>
      <w:r>
        <w:rPr>
          <w:rFonts w:ascii="Calibri" w:hAnsi="Calibri" w:eastAsia="Calibri"/>
          <w:b w:val="0"/>
          <w:i/>
          <w:color w:val="5C6B73"/>
          <w:sz w:val="20"/>
        </w:rPr>
        <w:t>Recorded October 15–16, 2026. This document is the working thread, in order. It is an operational and compliance framework for discussion with Apex, Stash Capital, operations, and counsel. It is not a legal opinion.</w:t>
      </w:r>
    </w:p>
    <w:p>
      <w:pPr>
        <w:spacing w:before="320" w:after="120" w:line="259" w:lineRule="auto"/>
        <w:pBdr>
          <w:bottom w:val="single" w:sz="12" w:space="1" w:color="1B3A4B"/>
        </w:pBdr>
      </w:pPr>
      <w:r>
        <w:rPr>
          <w:rFonts w:ascii="Calibri" w:hAnsi="Calibri" w:eastAsia="Calibri"/>
          <w:b/>
          <w:i w:val="0"/>
          <w:color w:val="1B3A4B"/>
          <w:sz w:val="32"/>
        </w:rPr>
        <w:t>1.  How should the two customer sets trade in four windows?</w:t>
      </w:r>
    </w:p>
    <w:p>
      <w:pPr>
        <w:spacing w:before="280" w:after="0" w:line="269" w:lineRule="auto"/>
        <w:shd w:val="clear" w:color="auto" w:fill="E7F0F0"/>
      </w:pPr>
      <w:r>
        <w:rPr>
          <w:rFonts w:ascii="Calibri" w:hAnsi="Calibri" w:eastAsia="Calibri"/>
          <w:b/>
          <w:i w:val="0"/>
          <w:color w:val="1B3A4B"/>
          <w:sz w:val="24"/>
        </w:rPr>
        <w:t>Question 1</w:t>
      </w:r>
    </w:p>
    <w:p>
      <w:pPr>
        <w:spacing w:before="40" w:after="40" w:line="269" w:lineRule="auto"/>
        <w:shd w:val="clear" w:color="auto" w:fill="E7F0F0"/>
      </w:pPr>
      <w:r>
        <w:rPr>
          <w:rFonts w:ascii="Calibri" w:hAnsi="Calibri" w:eastAsia="Calibri"/>
          <w:b w:val="0"/>
          <w:i/>
          <w:color w:val="5C6B73"/>
          <w:sz w:val="18"/>
        </w:rPr>
        <w:t>October 15, 2026</w:t>
      </w:r>
    </w:p>
    <w:p>
      <w:pPr>
        <w:spacing w:before="40" w:after="80" w:line="269" w:lineRule="auto"/>
        <w:shd w:val="clear" w:color="auto" w:fill="F4F8F8"/>
      </w:pPr>
      <w:r>
        <w:rPr>
          <w:rFonts w:ascii="Calibri" w:hAnsi="Calibri" w:eastAsia="Calibri"/>
          <w:b w:val="0"/>
          <w:i w:val="0"/>
          <w:color w:val="333A42"/>
          <w:sz w:val="22"/>
        </w:rPr>
        <w:t>We are moving from Apex legacy to Apex Ascend and want to have new advisory customers on Ascend sometime around Nov 15, 2026. For legacy customers we are currently trading in TraFix and routing all whole share orders to Apex for execution under Apex’s MPID. These trades go to Stash Capital’s average-price account on an agency basis before allocating fractional shares to our customer brokerage accounts held at Apex. We do this in 4 trading windows. Apex Ascend has different accounts and the broker-dealer would have a different average-price account. Apex also has an Orders API which they are suggesting Ascend would use.</w:t>
      </w:r>
    </w:p>
    <w:p>
      <w:pPr>
        <w:spacing w:before="40" w:after="160" w:line="269" w:lineRule="auto"/>
        <w:shd w:val="clear" w:color="auto" w:fill="F4F8F8"/>
      </w:pPr>
      <w:r>
        <w:rPr>
          <w:rFonts w:ascii="Calibri" w:hAnsi="Calibri" w:eastAsia="Calibri"/>
          <w:b w:val="0"/>
          <w:i w:val="0"/>
          <w:color w:val="333A42"/>
          <w:sz w:val="22"/>
        </w:rPr>
        <w:t>The question then becomes how is the best way to trade/allocate for the two sets of customers in the 4 trading windows. Any ideas given the Stash Investments Advisory Agreement and the fact that all customers are customers of the Adviser?</w:t>
      </w:r>
    </w:p>
    <w:p>
      <w:pPr>
        <w:spacing w:before="160" w:after="80" w:line="269" w:lineRule="auto"/>
      </w:pPr>
      <w:r>
        <w:rPr>
          <w:rFonts w:ascii="Calibri" w:hAnsi="Calibri" w:eastAsia="Calibri"/>
          <w:b/>
          <w:i w:val="0"/>
          <w:color w:val="0F6E6E"/>
          <w:sz w:val="24"/>
        </w:rPr>
        <w:t>Answer</w:t>
      </w:r>
    </w:p>
    <w:p>
      <w:pPr>
        <w:spacing w:before="0" w:after="160" w:line="269" w:lineRule="auto"/>
      </w:pPr>
      <w:r>
        <w:rPr>
          <w:rFonts w:ascii="Calibri" w:hAnsi="Calibri" w:eastAsia="Calibri"/>
          <w:b w:val="0"/>
          <w:i w:val="0"/>
          <w:color w:val="333A42"/>
          <w:sz w:val="22"/>
        </w:rPr>
        <w:t>The cleanest near-term model is one central Stash order-generation process with two synchronized execution and allocation legs — Legacy through TraFix and Ascend through Apex’s Orders API.</w:t>
      </w:r>
    </w:p>
    <w:p>
      <w:pPr>
        <w:spacing w:before="0" w:after="80" w:line="269" w:lineRule="auto"/>
      </w:pPr>
      <w:r>
        <w:rPr>
          <w:rFonts w:ascii="Calibri" w:hAnsi="Calibri" w:eastAsia="Calibri"/>
          <w:b/>
          <w:i w:val="0"/>
          <w:color w:val="1B3A4B"/>
          <w:sz w:val="22"/>
        </w:rPr>
        <w:t>Recommended four-window flow:</w:t>
      </w:r>
    </w:p>
    <w:p>
      <w:pPr>
        <w:spacing w:before="40" w:after="80" w:line="269" w:lineRule="auto"/>
        <w:ind w:left="504" w:hanging="360"/>
      </w:pPr>
      <w:r>
        <w:rPr>
          <w:rFonts w:ascii="Calibri" w:hAnsi="Calibri" w:eastAsia="Calibri"/>
          <w:b/>
          <w:i w:val="0"/>
          <w:color w:val="0F6E6E"/>
          <w:sz w:val="22"/>
        </w:rPr>
        <w:t xml:space="preserve">1. </w:t>
      </w:r>
      <w:r>
        <w:rPr>
          <w:rFonts w:ascii="Calibri" w:hAnsi="Calibri" w:eastAsia="Calibri"/>
          <w:b w:val="0"/>
          <w:i w:val="0"/>
          <w:color w:val="333A42"/>
          <w:sz w:val="22"/>
        </w:rPr>
        <w:t>At each cutoff, freeze one pre-trade blotter covering both populations.</w:t>
      </w:r>
    </w:p>
    <w:p>
      <w:pPr>
        <w:spacing w:before="40" w:after="80" w:line="269" w:lineRule="auto"/>
        <w:ind w:left="504" w:hanging="360"/>
      </w:pPr>
      <w:r>
        <w:rPr>
          <w:rFonts w:ascii="Calibri" w:hAnsi="Calibri" w:eastAsia="Calibri"/>
          <w:b/>
          <w:i w:val="0"/>
          <w:color w:val="0F6E6E"/>
          <w:sz w:val="22"/>
        </w:rPr>
        <w:t xml:space="preserve">2. </w:t>
      </w:r>
      <w:r>
        <w:rPr>
          <w:rFonts w:ascii="Calibri" w:hAnsi="Calibri" w:eastAsia="Calibri"/>
          <w:b w:val="0"/>
          <w:i w:val="0"/>
          <w:color w:val="333A42"/>
          <w:sz w:val="22"/>
        </w:rPr>
        <w:t>For each security and side, create a Legacy child block for the existing Stash Capital average-price account, and an Ascend child block for the applicable Ascend average-price account.</w:t>
      </w:r>
    </w:p>
    <w:p>
      <w:pPr>
        <w:spacing w:before="40" w:after="80" w:line="269" w:lineRule="auto"/>
        <w:ind w:left="504" w:hanging="360"/>
      </w:pPr>
      <w:r>
        <w:rPr>
          <w:rFonts w:ascii="Calibri" w:hAnsi="Calibri" w:eastAsia="Calibri"/>
          <w:b/>
          <w:i w:val="0"/>
          <w:color w:val="0F6E6E"/>
          <w:sz w:val="22"/>
        </w:rPr>
        <w:t xml:space="preserve">3. </w:t>
      </w:r>
      <w:r>
        <w:rPr>
          <w:rFonts w:ascii="Calibri" w:hAnsi="Calibri" w:eastAsia="Calibri"/>
          <w:b w:val="0"/>
          <w:i w:val="0"/>
          <w:color w:val="333A42"/>
          <w:sz w:val="22"/>
        </w:rPr>
        <w:t>Release both children as close to simultaneously as possible, using equivalent order types and handling instructions.</w:t>
      </w:r>
    </w:p>
    <w:p>
      <w:pPr>
        <w:spacing w:before="40" w:after="80" w:line="269" w:lineRule="auto"/>
        <w:ind w:left="504" w:hanging="360"/>
      </w:pPr>
      <w:r>
        <w:rPr>
          <w:rFonts w:ascii="Calibri" w:hAnsi="Calibri" w:eastAsia="Calibri"/>
          <w:b/>
          <w:i w:val="0"/>
          <w:color w:val="0F6E6E"/>
          <w:sz w:val="22"/>
        </w:rPr>
        <w:t xml:space="preserve">4. </w:t>
      </w:r>
      <w:r>
        <w:rPr>
          <w:rFonts w:ascii="Calibri" w:hAnsi="Calibri" w:eastAsia="Calibri"/>
          <w:b w:val="0"/>
          <w:i w:val="0"/>
          <w:color w:val="333A42"/>
          <w:sz w:val="22"/>
        </w:rPr>
        <w:t>Average-price and allocate separately within each custody cohort.</w:t>
      </w:r>
    </w:p>
    <w:p>
      <w:pPr>
        <w:spacing w:before="40" w:after="80" w:line="269" w:lineRule="auto"/>
        <w:ind w:left="504" w:hanging="360"/>
      </w:pPr>
      <w:r>
        <w:rPr>
          <w:rFonts w:ascii="Calibri" w:hAnsi="Calibri" w:eastAsia="Calibri"/>
          <w:b/>
          <w:i w:val="0"/>
          <w:color w:val="0F6E6E"/>
          <w:sz w:val="22"/>
        </w:rPr>
        <w:t xml:space="preserve">5. </w:t>
      </w:r>
      <w:r>
        <w:rPr>
          <w:rFonts w:ascii="Calibri" w:hAnsi="Calibri" w:eastAsia="Calibri"/>
          <w:b w:val="0"/>
          <w:i w:val="0"/>
          <w:color w:val="333A42"/>
          <w:sz w:val="22"/>
        </w:rPr>
        <w:t>Apply the same documented pro-rata partial-fill and rounding rules to both cohorts.</w:t>
      </w:r>
    </w:p>
    <w:p>
      <w:pPr>
        <w:spacing w:before="40" w:after="80" w:line="269" w:lineRule="auto"/>
        <w:ind w:left="504" w:hanging="360"/>
      </w:pPr>
      <w:r>
        <w:rPr>
          <w:rFonts w:ascii="Calibri" w:hAnsi="Calibri" w:eastAsia="Calibri"/>
          <w:b/>
          <w:i w:val="0"/>
          <w:color w:val="0F6E6E"/>
          <w:sz w:val="22"/>
        </w:rPr>
        <w:t xml:space="preserve">6. </w:t>
      </w:r>
      <w:r>
        <w:rPr>
          <w:rFonts w:ascii="Calibri" w:hAnsi="Calibri" w:eastAsia="Calibri"/>
          <w:b w:val="0"/>
          <w:i w:val="0"/>
          <w:color w:val="333A42"/>
          <w:sz w:val="22"/>
        </w:rPr>
        <w:t>Send residual fractions only to the fractional-facilitation account associated with that custody book.</w:t>
      </w:r>
    </w:p>
    <w:p>
      <w:pPr>
        <w:spacing w:before="40" w:after="80" w:line="269" w:lineRule="auto"/>
        <w:ind w:left="504" w:hanging="360"/>
      </w:pPr>
      <w:r>
        <w:rPr>
          <w:rFonts w:ascii="Calibri" w:hAnsi="Calibri" w:eastAsia="Calibri"/>
          <w:b/>
          <w:i w:val="0"/>
          <w:color w:val="0F6E6E"/>
          <w:sz w:val="22"/>
        </w:rPr>
        <w:t xml:space="preserve">7. </w:t>
      </w:r>
      <w:r>
        <w:rPr>
          <w:rFonts w:ascii="Calibri" w:hAnsi="Calibri" w:eastAsia="Calibri"/>
          <w:b w:val="0"/>
          <w:i w:val="0"/>
          <w:color w:val="333A42"/>
          <w:sz w:val="22"/>
        </w:rPr>
        <w:t>Retain a master-order ID linking the two executions for fairness and best-execution review.</w:t>
      </w:r>
    </w:p>
    <w:p>
      <w:pPr>
        <w:spacing w:before="120" w:after="160" w:line="269" w:lineRule="auto"/>
      </w:pPr>
      <w:r>
        <w:rPr>
          <w:rFonts w:ascii="Calibri" w:hAnsi="Calibri" w:eastAsia="Calibri"/>
          <w:b w:val="0"/>
          <w:i w:val="0"/>
          <w:color w:val="333A42"/>
          <w:sz w:val="22"/>
        </w:rPr>
        <w:t>Do not create a synthetic blended price across the two blocks or transfer gains or losses between average-price accounts. Customers should receive the actual average price of the block from which their account was allocated.</w:t>
      </w:r>
    </w:p>
    <w:p>
      <w:pPr>
        <w:spacing w:before="0" w:after="160" w:line="269" w:lineRule="auto"/>
      </w:pPr>
      <w:r>
        <w:rPr>
          <w:rFonts w:ascii="Calibri" w:hAnsi="Calibri" w:eastAsia="Calibri"/>
          <w:b w:val="0"/>
          <w:i w:val="0"/>
          <w:color w:val="333A42"/>
          <w:sz w:val="22"/>
        </w:rPr>
        <w:t>A single combined execution would be preferable only if Apex confirms in writing that it can execute one parent block and legally book or step out allocations to both average-price accounts and both customer-account systems. The public Ascend SDK includes Orders and Trade Allocation APIs, but that does not establish that cross-Legacy/Ascend allocation is supported. Apex should provide the proposed account flow, capacity, confirmations, CAT and Rule 606 treatment, settlement flow, and error-account treatment.</w:t>
      </w:r>
    </w:p>
    <w:p>
      <w:pPr>
        <w:spacing w:before="120" w:after="80" w:line="269" w:lineRule="auto"/>
      </w:pPr>
      <w:r>
        <w:rPr>
          <w:rFonts w:ascii="Calibri" w:hAnsi="Calibri" w:eastAsia="Calibri"/>
          <w:b/>
          <w:i w:val="0"/>
          <w:color w:val="1B3A4B"/>
          <w:sz w:val="22"/>
        </w:rPr>
        <w:t>Key agreement concerns</w:t>
      </w:r>
    </w:p>
    <w:p>
      <w:pPr>
        <w:spacing w:before="20" w:after="60" w:line="269" w:lineRule="auto"/>
        <w:ind w:left="504" w:hanging="288"/>
      </w:pPr>
      <w:r>
        <w:rPr>
          <w:rFonts w:ascii="Calibri" w:hAnsi="Calibri" w:eastAsia="Calibri"/>
          <w:b/>
          <w:i w:val="0"/>
          <w:color w:val="0F6E6E"/>
          <w:sz w:val="22"/>
        </w:rPr>
        <w:t xml:space="preserve">• </w:t>
      </w:r>
      <w:r>
        <w:rPr>
          <w:rFonts w:ascii="Calibri" w:hAnsi="Calibri" w:eastAsia="Calibri"/>
          <w:b w:val="0"/>
          <w:i w:val="0"/>
          <w:color w:val="333A42"/>
          <w:sz w:val="22"/>
        </w:rPr>
        <w:t>The current agreement says orders from “all Clients” are combined and “all orders” are executed through the Broker’s average-price account before Apex allocates them. Running two blocks is operationally reasonable, but the wording should be revised to contemplate separate blocks or average-price accounts by custodian or platform.</w:t>
      </w:r>
    </w:p>
    <w:p>
      <w:pPr>
        <w:spacing w:before="20" w:after="60" w:line="269" w:lineRule="auto"/>
        <w:ind w:left="504" w:hanging="288"/>
      </w:pPr>
      <w:r>
        <w:rPr>
          <w:rFonts w:ascii="Calibri" w:hAnsi="Calibri" w:eastAsia="Calibri"/>
          <w:b/>
          <w:i w:val="0"/>
          <w:color w:val="0F6E6E"/>
          <w:sz w:val="22"/>
        </w:rPr>
        <w:t xml:space="preserve">• </w:t>
      </w:r>
      <w:r>
        <w:rPr>
          <w:rFonts w:ascii="Calibri" w:hAnsi="Calibri" w:eastAsia="Calibri"/>
          <w:b w:val="0"/>
          <w:i w:val="0"/>
          <w:color w:val="333A42"/>
          <w:sz w:val="22"/>
        </w:rPr>
        <w:t>The agreement identifies Stash Capital as the “Broker.” If Ascend introduces a different legal broker-dealer — not merely a different account or technology stack — the existing authorization does not appear sufficient. New customers need documents naming the correct broker, and counsel must determine the required notice or consent for existing customers.</w:t>
      </w:r>
    </w:p>
    <w:p>
      <w:pPr>
        <w:spacing w:before="20" w:after="60" w:line="269" w:lineRule="auto"/>
        <w:ind w:left="504" w:hanging="288"/>
      </w:pPr>
      <w:r>
        <w:rPr>
          <w:rFonts w:ascii="Calibri" w:hAnsi="Calibri" w:eastAsia="Calibri"/>
          <w:b/>
          <w:i w:val="0"/>
          <w:color w:val="0F6E6E"/>
          <w:sz w:val="22"/>
        </w:rPr>
        <w:t xml:space="preserve">• </w:t>
      </w:r>
      <w:r>
        <w:rPr>
          <w:rFonts w:ascii="Calibri" w:hAnsi="Calibri" w:eastAsia="Calibri"/>
          <w:b w:val="0"/>
          <w:i w:val="0"/>
          <w:color w:val="333A42"/>
          <w:sz w:val="22"/>
        </w:rPr>
        <w:t>It authorizes Stash to change fractional-allocation procedures, but only in accordance with the custodian’s fractional-share program. Each Ascend rounding and residual workflow therefore needs Apex approval.</w:t>
      </w:r>
    </w:p>
    <w:p>
      <w:pPr>
        <w:spacing w:before="20" w:after="60" w:line="269" w:lineRule="auto"/>
        <w:ind w:left="504" w:hanging="288"/>
      </w:pPr>
      <w:r>
        <w:rPr>
          <w:rFonts w:ascii="Calibri" w:hAnsi="Calibri" w:eastAsia="Calibri"/>
          <w:b/>
          <w:i w:val="0"/>
          <w:color w:val="0F6E6E"/>
          <w:sz w:val="22"/>
        </w:rPr>
        <w:t xml:space="preserve">• </w:t>
      </w:r>
      <w:r>
        <w:rPr>
          <w:rFonts w:ascii="Calibri" w:hAnsi="Calibri" w:eastAsia="Calibri"/>
          <w:b w:val="0"/>
          <w:i w:val="0"/>
          <w:color w:val="333A42"/>
          <w:sz w:val="22"/>
        </w:rPr>
        <w:t>Being clients of the same adviser supports a common allocation policy, but it does not permit assets or execution economics to move between broker-dealer books.</w:t>
      </w:r>
    </w:p>
    <w:p>
      <w:pPr>
        <w:spacing w:before="20" w:after="60" w:line="269" w:lineRule="auto"/>
        <w:ind w:left="504" w:hanging="288"/>
      </w:pPr>
      <w:r>
        <w:rPr>
          <w:rFonts w:ascii="Calibri" w:hAnsi="Calibri" w:eastAsia="Calibri"/>
          <w:b/>
          <w:i w:val="0"/>
          <w:color w:val="0F6E6E"/>
          <w:sz w:val="22"/>
        </w:rPr>
        <w:t xml:space="preserve">• </w:t>
      </w:r>
      <w:r>
        <w:rPr>
          <w:rFonts w:ascii="Calibri" w:hAnsi="Calibri" w:eastAsia="Calibri"/>
          <w:b w:val="0"/>
          <w:i w:val="0"/>
          <w:color w:val="333A42"/>
          <w:sz w:val="22"/>
        </w:rPr>
        <w:t>The published agreement describes four windows for non-managed Individual Accounts, but generally one window for Managed Portfolios. Those populations should not automatically be treated identically without changing the disclosure.</w:t>
      </w:r>
    </w:p>
    <w:p>
      <w:pPr>
        <w:spacing w:before="120" w:after="80" w:line="269" w:lineRule="auto"/>
      </w:pPr>
      <w:r>
        <w:rPr>
          <w:rFonts w:ascii="Calibri" w:hAnsi="Calibri" w:eastAsia="Calibri"/>
          <w:b/>
          <w:i w:val="0"/>
          <w:color w:val="1B3A4B"/>
          <w:sz w:val="22"/>
        </w:rPr>
        <w:t>Controls to require before launch</w:t>
      </w:r>
    </w:p>
    <w:p>
      <w:pPr>
        <w:spacing w:before="20" w:after="60" w:line="269" w:lineRule="auto"/>
        <w:ind w:left="504" w:hanging="288"/>
      </w:pPr>
      <w:r>
        <w:rPr>
          <w:rFonts w:ascii="Calibri" w:hAnsi="Calibri" w:eastAsia="Calibri"/>
          <w:b/>
          <w:i w:val="0"/>
          <w:color w:val="0F6E6E"/>
          <w:sz w:val="22"/>
        </w:rPr>
        <w:t xml:space="preserve">• </w:t>
      </w:r>
      <w:r>
        <w:rPr>
          <w:rFonts w:ascii="Calibri" w:hAnsi="Calibri" w:eastAsia="Calibri"/>
          <w:b w:val="0"/>
          <w:i w:val="0"/>
          <w:color w:val="333A42"/>
          <w:sz w:val="22"/>
        </w:rPr>
        <w:t>Written pre-trade allocation and partial-fill policy covering both platforms.</w:t>
      </w:r>
    </w:p>
    <w:p>
      <w:pPr>
        <w:spacing w:before="20" w:after="60" w:line="269" w:lineRule="auto"/>
        <w:ind w:left="504" w:hanging="288"/>
      </w:pPr>
      <w:r>
        <w:rPr>
          <w:rFonts w:ascii="Calibri" w:hAnsi="Calibri" w:eastAsia="Calibri"/>
          <w:b/>
          <w:i w:val="0"/>
          <w:color w:val="0F6E6E"/>
          <w:sz w:val="22"/>
        </w:rPr>
        <w:t xml:space="preserve">• </w:t>
      </w:r>
      <w:r>
        <w:rPr>
          <w:rFonts w:ascii="Calibri" w:hAnsi="Calibri" w:eastAsia="Calibri"/>
          <w:b w:val="0"/>
          <w:i w:val="0"/>
          <w:color w:val="333A42"/>
          <w:sz w:val="22"/>
        </w:rPr>
        <w:t>Simultaneous-release tolerance and escalation rules when one channel fails.</w:t>
      </w:r>
    </w:p>
    <w:p>
      <w:pPr>
        <w:spacing w:before="20" w:after="60" w:line="269" w:lineRule="auto"/>
        <w:ind w:left="504" w:hanging="288"/>
      </w:pPr>
      <w:r>
        <w:rPr>
          <w:rFonts w:ascii="Calibri" w:hAnsi="Calibri" w:eastAsia="Calibri"/>
          <w:b/>
          <w:i w:val="0"/>
          <w:color w:val="0F6E6E"/>
          <w:sz w:val="22"/>
        </w:rPr>
        <w:t xml:space="preserve">• </w:t>
      </w:r>
      <w:r>
        <w:rPr>
          <w:rFonts w:ascii="Calibri" w:hAnsi="Calibri" w:eastAsia="Calibri"/>
          <w:b w:val="0"/>
          <w:i w:val="0"/>
          <w:color w:val="333A42"/>
          <w:sz w:val="22"/>
        </w:rPr>
        <w:t>No systematic “Legacy first” or “Ascend first” sequencing.</w:t>
      </w:r>
    </w:p>
    <w:p>
      <w:pPr>
        <w:spacing w:before="20" w:after="60" w:line="269" w:lineRule="auto"/>
        <w:ind w:left="504" w:hanging="288"/>
      </w:pPr>
      <w:r>
        <w:rPr>
          <w:rFonts w:ascii="Calibri" w:hAnsi="Calibri" w:eastAsia="Calibri"/>
          <w:b/>
          <w:i w:val="0"/>
          <w:color w:val="0F6E6E"/>
          <w:sz w:val="22"/>
        </w:rPr>
        <w:t xml:space="preserve">• </w:t>
      </w:r>
      <w:r>
        <w:rPr>
          <w:rFonts w:ascii="Calibri" w:hAnsi="Calibri" w:eastAsia="Calibri"/>
          <w:b w:val="0"/>
          <w:i w:val="0"/>
          <w:color w:val="333A42"/>
          <w:sz w:val="22"/>
        </w:rPr>
        <w:t>Daily price, latency, and fill-rate comparisons between cohorts, with compliance thresholds.</w:t>
      </w:r>
    </w:p>
    <w:p>
      <w:pPr>
        <w:spacing w:before="20" w:after="60" w:line="269" w:lineRule="auto"/>
        <w:ind w:left="504" w:hanging="288"/>
      </w:pPr>
      <w:r>
        <w:rPr>
          <w:rFonts w:ascii="Calibri" w:hAnsi="Calibri" w:eastAsia="Calibri"/>
          <w:b/>
          <w:i w:val="0"/>
          <w:color w:val="0F6E6E"/>
          <w:sz w:val="22"/>
        </w:rPr>
        <w:t xml:space="preserve">• </w:t>
      </w:r>
      <w:r>
        <w:rPr>
          <w:rFonts w:ascii="Calibri" w:hAnsi="Calibri" w:eastAsia="Calibri"/>
          <w:b w:val="0"/>
          <w:i w:val="0"/>
          <w:color w:val="333A42"/>
          <w:sz w:val="22"/>
        </w:rPr>
        <w:t>Separate fractional residual and trade-error accounting by broker and custody book.</w:t>
      </w:r>
    </w:p>
    <w:p>
      <w:pPr>
        <w:spacing w:before="20" w:after="60" w:line="269" w:lineRule="auto"/>
        <w:ind w:left="504" w:hanging="288"/>
      </w:pPr>
      <w:r>
        <w:rPr>
          <w:rFonts w:ascii="Calibri" w:hAnsi="Calibri" w:eastAsia="Calibri"/>
          <w:b/>
          <w:i w:val="0"/>
          <w:color w:val="0F6E6E"/>
          <w:sz w:val="22"/>
        </w:rPr>
        <w:t xml:space="preserve">• </w:t>
      </w:r>
      <w:r>
        <w:rPr>
          <w:rFonts w:ascii="Calibri" w:hAnsi="Calibri" w:eastAsia="Calibri"/>
          <w:b w:val="0"/>
          <w:i w:val="0"/>
          <w:color w:val="333A42"/>
          <w:sz w:val="22"/>
        </w:rPr>
        <w:t>Reconciliation proving every child execution ties back to the frozen master blotter.</w:t>
      </w:r>
    </w:p>
    <w:p>
      <w:pPr>
        <w:spacing w:before="20" w:after="60" w:line="269" w:lineRule="auto"/>
        <w:ind w:left="504" w:hanging="288"/>
      </w:pPr>
      <w:r>
        <w:rPr>
          <w:rFonts w:ascii="Calibri" w:hAnsi="Calibri" w:eastAsia="Calibri"/>
          <w:b/>
          <w:i w:val="0"/>
          <w:color w:val="0F6E6E"/>
          <w:sz w:val="22"/>
        </w:rPr>
        <w:t xml:space="preserve">• </w:t>
      </w:r>
      <w:r>
        <w:rPr>
          <w:rFonts w:ascii="Calibri" w:hAnsi="Calibri" w:eastAsia="Calibri"/>
          <w:b w:val="0"/>
          <w:i w:val="0"/>
          <w:color w:val="333A42"/>
          <w:sz w:val="22"/>
        </w:rPr>
        <w:t>Updated Advisory Agreement, Form ADV and wrap brochure, customer agreement, best-execution procedures, and business-continuity procedures.</w:t>
      </w:r>
    </w:p>
    <w:p>
      <w:pPr>
        <w:spacing w:before="120" w:after="160" w:line="269" w:lineRule="auto"/>
      </w:pPr>
      <w:r>
        <w:rPr>
          <w:rFonts w:ascii="Calibri" w:hAnsi="Calibri" w:eastAsia="Calibri"/>
          <w:b w:val="0"/>
          <w:i w:val="0"/>
          <w:color w:val="333A42"/>
          <w:sz w:val="22"/>
        </w:rPr>
        <w:t>For a November 15 launch, use synchronized dual blocks as the initial design. A cross-platform parent and step-out model should be a later enhancement unless Apex, Stash Capital, operations, and counsel can validate it end to end beforehand.</w:t>
      </w:r>
    </w:p>
    <w:p>
      <w:pPr>
        <w:spacing w:before="80" w:after="60" w:line="269" w:lineRule="auto"/>
      </w:pPr>
      <w:r>
        <w:rPr>
          <w:rFonts w:ascii="Calibri" w:hAnsi="Calibri" w:eastAsia="Calibri"/>
          <w:b/>
          <w:i w:val="0"/>
          <w:color w:val="1B3A4B"/>
          <w:sz w:val="22"/>
        </w:rPr>
        <w:t>Public sources cited in the discussion:</w:t>
      </w:r>
    </w:p>
    <w:p>
      <w:pPr>
        <w:spacing w:before="20" w:after="60" w:line="269" w:lineRule="auto"/>
        <w:ind w:left="504" w:hanging="288"/>
      </w:pPr>
      <w:r>
        <w:rPr>
          <w:rFonts w:ascii="Calibri" w:hAnsi="Calibri" w:eastAsia="Calibri"/>
          <w:b/>
          <w:i w:val="0"/>
          <w:color w:val="0F6E6E"/>
          <w:sz w:val="22"/>
        </w:rPr>
        <w:t xml:space="preserve">• </w:t>
      </w:r>
      <w:r>
        <w:rPr>
          <w:rFonts w:ascii="Calibri" w:hAnsi="Calibri" w:eastAsia="Calibri"/>
          <w:b/>
          <w:i w:val="0"/>
          <w:color w:val="1B3A4B"/>
          <w:sz w:val="22"/>
        </w:rPr>
        <w:t xml:space="preserve">Stash Advisory Agreement. </w:t>
      </w:r>
      <w:r>
        <w:rPr>
          <w:rFonts w:ascii="Calibri" w:hAnsi="Calibri" w:eastAsia="Calibri"/>
          <w:b w:val="0"/>
          <w:i w:val="0"/>
          <w:color w:val="333A42"/>
          <w:sz w:val="22"/>
        </w:rPr>
        <w:t>https://cdn.stash.com/disclosures/Stash-Subscription-12-Advisory-Agreement.pdf</w:t>
      </w:r>
    </w:p>
    <w:p>
      <w:pPr>
        <w:spacing w:before="20" w:after="60" w:line="269" w:lineRule="auto"/>
        <w:ind w:left="504" w:hanging="288"/>
      </w:pPr>
      <w:r>
        <w:rPr>
          <w:rFonts w:ascii="Calibri" w:hAnsi="Calibri" w:eastAsia="Calibri"/>
          <w:b/>
          <w:i w:val="0"/>
          <w:color w:val="0F6E6E"/>
          <w:sz w:val="22"/>
        </w:rPr>
        <w:t xml:space="preserve">• </w:t>
      </w:r>
      <w:r>
        <w:rPr>
          <w:rFonts w:ascii="Calibri" w:hAnsi="Calibri" w:eastAsia="Calibri"/>
          <w:b/>
          <w:i w:val="0"/>
          <w:color w:val="1B3A4B"/>
          <w:sz w:val="22"/>
        </w:rPr>
        <w:t xml:space="preserve">Form ADV Part 2A. </w:t>
      </w:r>
      <w:r>
        <w:rPr>
          <w:rFonts w:ascii="Calibri" w:hAnsi="Calibri" w:eastAsia="Calibri"/>
          <w:b w:val="0"/>
          <w:i w:val="0"/>
          <w:color w:val="333A42"/>
          <w:sz w:val="22"/>
        </w:rPr>
        <w:t>https://cdn.stash.com/disclosures/Form_ADV_Part_2A.pdf</w:t>
      </w:r>
    </w:p>
    <w:p>
      <w:pPr>
        <w:spacing w:before="20" w:after="60" w:line="269" w:lineRule="auto"/>
        <w:ind w:left="504" w:hanging="288"/>
      </w:pPr>
      <w:r>
        <w:rPr>
          <w:rFonts w:ascii="Calibri" w:hAnsi="Calibri" w:eastAsia="Calibri"/>
          <w:b/>
          <w:i w:val="0"/>
          <w:color w:val="0F6E6E"/>
          <w:sz w:val="22"/>
        </w:rPr>
        <w:t xml:space="preserve">• </w:t>
      </w:r>
      <w:r>
        <w:rPr>
          <w:rFonts w:ascii="Calibri" w:hAnsi="Calibri" w:eastAsia="Calibri"/>
          <w:b/>
          <w:i w:val="0"/>
          <w:color w:val="1B3A4B"/>
          <w:sz w:val="22"/>
        </w:rPr>
        <w:t xml:space="preserve">Apex Ascend SDK. </w:t>
      </w:r>
      <w:r>
        <w:rPr>
          <w:rFonts w:ascii="Calibri" w:hAnsi="Calibri" w:eastAsia="Calibri"/>
          <w:b w:val="0"/>
          <w:i w:val="0"/>
          <w:color w:val="333A42"/>
          <w:sz w:val="22"/>
        </w:rPr>
        <w:t>https://github.com/afs-public/ascend-sdk-typescript</w:t>
      </w:r>
    </w:p>
    <w:p>
      <w:pPr>
        <w:spacing w:before="320" w:after="120" w:line="259" w:lineRule="auto"/>
        <w:pBdr>
          <w:bottom w:val="single" w:sz="12" w:space="1" w:color="1B3A4B"/>
        </w:pBdr>
      </w:pPr>
      <w:r>
        <w:rPr>
          <w:rFonts w:ascii="Calibri" w:hAnsi="Calibri" w:eastAsia="Calibri"/>
          <w:b/>
          <w:i w:val="0"/>
          <w:color w:val="1B3A4B"/>
          <w:sz w:val="32"/>
        </w:rPr>
        <w:t>2.  Can Apex step out one TraFix order to the Ascend average-price account?</w:t>
      </w:r>
    </w:p>
    <w:p>
      <w:pPr>
        <w:spacing w:before="280" w:after="0" w:line="269" w:lineRule="auto"/>
        <w:shd w:val="clear" w:color="auto" w:fill="E7F0F0"/>
      </w:pPr>
      <w:r>
        <w:rPr>
          <w:rFonts w:ascii="Calibri" w:hAnsi="Calibri" w:eastAsia="Calibri"/>
          <w:b/>
          <w:i w:val="0"/>
          <w:color w:val="1B3A4B"/>
          <w:sz w:val="24"/>
        </w:rPr>
        <w:t>Question 2</w:t>
      </w:r>
    </w:p>
    <w:p>
      <w:pPr>
        <w:spacing w:before="40" w:after="40" w:line="269" w:lineRule="auto"/>
        <w:shd w:val="clear" w:color="auto" w:fill="E7F0F0"/>
      </w:pPr>
      <w:r>
        <w:rPr>
          <w:rFonts w:ascii="Calibri" w:hAnsi="Calibri" w:eastAsia="Calibri"/>
          <w:b w:val="0"/>
          <w:i/>
          <w:color w:val="5C6B73"/>
          <w:sz w:val="18"/>
        </w:rPr>
        <w:t>October 15, 2026</w:t>
      </w:r>
    </w:p>
    <w:p>
      <w:pPr>
        <w:spacing w:before="40" w:after="160" w:line="269" w:lineRule="auto"/>
        <w:shd w:val="clear" w:color="auto" w:fill="F4F8F8"/>
      </w:pPr>
      <w:r>
        <w:rPr>
          <w:rFonts w:ascii="Calibri" w:hAnsi="Calibri" w:eastAsia="Calibri"/>
          <w:b w:val="0"/>
          <w:i w:val="0"/>
          <w:color w:val="333A42"/>
          <w:sz w:val="22"/>
        </w:rPr>
        <w:t>Should Apex be able to step out from one TraFix order executed in the legacy average-price account to the Ascend average-price account? If so, how would they do it?</w:t>
      </w:r>
    </w:p>
    <w:p>
      <w:pPr>
        <w:spacing w:before="160" w:after="80" w:line="269" w:lineRule="auto"/>
      </w:pPr>
      <w:r>
        <w:rPr>
          <w:rFonts w:ascii="Calibri" w:hAnsi="Calibri" w:eastAsia="Calibri"/>
          <w:b/>
          <w:i w:val="0"/>
          <w:color w:val="0F6E6E"/>
          <w:sz w:val="24"/>
        </w:rPr>
        <w:t>Answer</w:t>
      </w:r>
    </w:p>
    <w:p>
      <w:pPr>
        <w:spacing w:before="0" w:after="160" w:line="269" w:lineRule="auto"/>
      </w:pPr>
      <w:r>
        <w:rPr>
          <w:rFonts w:ascii="Calibri" w:hAnsi="Calibri" w:eastAsia="Calibri"/>
          <w:b w:val="0"/>
          <w:i w:val="0"/>
          <w:color w:val="333A42"/>
          <w:sz w:val="22"/>
        </w:rPr>
        <w:t>Yes. If both average-price accounts clear at Apex, Apex should move the Ascend quantity internally from the legacy average-price account to the Ascend average-price account at the original average price. That is one street execution followed by a same-price allocation, and it gives both customer groups the same price in each trading window.</w:t>
      </w:r>
    </w:p>
    <w:p>
      <w:pPr>
        <w:spacing w:before="0" w:after="160" w:line="269" w:lineRule="auto"/>
      </w:pPr>
      <w:r>
        <w:rPr>
          <w:rFonts w:ascii="Calibri" w:hAnsi="Calibri" w:eastAsia="Calibri"/>
          <w:b w:val="0"/>
          <w:i w:val="0"/>
          <w:color w:val="333A42"/>
          <w:sz w:val="22"/>
        </w:rPr>
        <w:t>The Orders API is the wrong tool for that movement. It creates a new order and a new execution. The public Ascend Trade Allocation API also starts only after the shares already exist on Ascend; it allocates from the Ascend average-price account to Ascend customer accounts.</w:t>
      </w:r>
    </w:p>
    <w:p>
      <w:pPr>
        <w:spacing w:before="80" w:after="80" w:line="269" w:lineRule="auto"/>
      </w:pPr>
      <w:r>
        <w:rPr>
          <w:rFonts w:ascii="Calibri" w:hAnsi="Calibri" w:eastAsia="Calibri"/>
          <w:b/>
          <w:i w:val="0"/>
          <w:color w:val="1B3A4B"/>
          <w:sz w:val="22"/>
        </w:rPr>
        <w:t>Booking sequence</w:t>
      </w:r>
    </w:p>
    <w:p>
      <w:pPr>
        <w:spacing w:before="0" w:after="160" w:line="269" w:lineRule="auto"/>
      </w:pPr>
      <w:r>
        <w:rPr>
          <w:rFonts w:ascii="Calibri" w:hAnsi="Calibri" w:eastAsia="Calibri"/>
          <w:b w:val="0"/>
          <w:i w:val="0"/>
          <w:color w:val="333A42"/>
          <w:sz w:val="22"/>
        </w:rPr>
        <w:t>For each symbol and side in a trading window:</w:t>
      </w:r>
    </w:p>
    <w:p>
      <w:pPr>
        <w:spacing w:before="40" w:after="80" w:line="269" w:lineRule="auto"/>
        <w:ind w:left="504" w:hanging="360"/>
      </w:pPr>
      <w:r>
        <w:rPr>
          <w:rFonts w:ascii="Calibri" w:hAnsi="Calibri" w:eastAsia="Calibri"/>
          <w:b/>
          <w:i w:val="0"/>
          <w:color w:val="0F6E6E"/>
          <w:sz w:val="22"/>
        </w:rPr>
        <w:t xml:space="preserve">1. </w:t>
      </w:r>
      <w:r>
        <w:rPr>
          <w:rFonts w:ascii="Calibri" w:hAnsi="Calibri" w:eastAsia="Calibri"/>
          <w:b w:val="0"/>
          <w:i w:val="0"/>
          <w:color w:val="333A42"/>
          <w:sz w:val="22"/>
        </w:rPr>
        <w:t>Freeze one combined blotter and record each customer’s quantity before the order is sent.</w:t>
      </w:r>
    </w:p>
    <w:p>
      <w:pPr>
        <w:spacing w:before="40" w:after="80" w:line="269" w:lineRule="auto"/>
        <w:ind w:left="504" w:hanging="360"/>
      </w:pPr>
      <w:r>
        <w:rPr>
          <w:rFonts w:ascii="Calibri" w:hAnsi="Calibri" w:eastAsia="Calibri"/>
          <w:b/>
          <w:i w:val="0"/>
          <w:color w:val="0F6E6E"/>
          <w:sz w:val="22"/>
        </w:rPr>
        <w:t xml:space="preserve">2. </w:t>
      </w:r>
      <w:r>
        <w:rPr>
          <w:rFonts w:ascii="Calibri" w:hAnsi="Calibri" w:eastAsia="Calibri"/>
          <w:b w:val="0"/>
          <w:i w:val="0"/>
          <w:color w:val="333A42"/>
          <w:sz w:val="22"/>
        </w:rPr>
        <w:t>Send one whole-share TraFix order. Apex executes it under Apex’s MPID, and the fill posts to the legacy average-price account on an agency basis.</w:t>
      </w:r>
    </w:p>
    <w:p>
      <w:pPr>
        <w:spacing w:before="40" w:after="80" w:line="269" w:lineRule="auto"/>
        <w:ind w:left="504" w:hanging="360"/>
      </w:pPr>
      <w:r>
        <w:rPr>
          <w:rFonts w:ascii="Calibri" w:hAnsi="Calibri" w:eastAsia="Calibri"/>
          <w:b/>
          <w:i w:val="0"/>
          <w:color w:val="0F6E6E"/>
          <w:sz w:val="22"/>
        </w:rPr>
        <w:t xml:space="preserve">3. </w:t>
      </w:r>
      <w:r>
        <w:rPr>
          <w:rFonts w:ascii="Calibri" w:hAnsi="Calibri" w:eastAsia="Calibri"/>
          <w:b w:val="0"/>
          <w:i w:val="0"/>
          <w:color w:val="333A42"/>
          <w:sz w:val="22"/>
        </w:rPr>
        <w:t>Calculate the Ascend quantity from the pre-trade pro-rata schedule. On a partial fill, apply that ratio to the filled quantity before either side is allocated.</w:t>
      </w:r>
    </w:p>
    <w:p>
      <w:pPr>
        <w:spacing w:before="40" w:after="80" w:line="269" w:lineRule="auto"/>
        <w:ind w:left="504" w:hanging="360"/>
      </w:pPr>
      <w:r>
        <w:rPr>
          <w:rFonts w:ascii="Calibri" w:hAnsi="Calibri" w:eastAsia="Calibri"/>
          <w:b/>
          <w:i w:val="0"/>
          <w:color w:val="0F6E6E"/>
          <w:sz w:val="22"/>
        </w:rPr>
        <w:t xml:space="preserve">4. </w:t>
      </w:r>
      <w:r>
        <w:rPr>
          <w:rFonts w:ascii="Calibri" w:hAnsi="Calibri" w:eastAsia="Calibri"/>
          <w:b w:val="0"/>
          <w:i w:val="0"/>
          <w:color w:val="333A42"/>
          <w:sz w:val="22"/>
        </w:rPr>
        <w:t>Apex books a whole-share, agency, same-price movement. The legacy average-price account delivers the Ascend quantity. The Ascend average-price account receives it. The price is the volume-weighted average of the TraFix fills. The trade date, side, capacity, and parent execution identifier stay the same.</w:t>
      </w:r>
    </w:p>
    <w:p>
      <w:pPr>
        <w:spacing w:before="40" w:after="80" w:line="269" w:lineRule="auto"/>
        <w:ind w:left="504" w:hanging="360"/>
      </w:pPr>
      <w:r>
        <w:rPr>
          <w:rFonts w:ascii="Calibri" w:hAnsi="Calibri" w:eastAsia="Calibri"/>
          <w:b/>
          <w:i w:val="0"/>
          <w:color w:val="0F6E6E"/>
          <w:sz w:val="22"/>
        </w:rPr>
        <w:t xml:space="preserve">5. </w:t>
      </w:r>
      <w:r>
        <w:rPr>
          <w:rFonts w:ascii="Calibri" w:hAnsi="Calibri" w:eastAsia="Calibri"/>
          <w:b w:val="0"/>
          <w:i w:val="0"/>
          <w:color w:val="333A42"/>
          <w:sz w:val="22"/>
        </w:rPr>
        <w:t>The legacy account allocates its remaining shares to legacy customers, with its fractional residual going to the legacy facilitation account.</w:t>
      </w:r>
    </w:p>
    <w:p>
      <w:pPr>
        <w:spacing w:before="40" w:after="80" w:line="269" w:lineRule="auto"/>
        <w:ind w:left="504" w:hanging="360"/>
      </w:pPr>
      <w:r>
        <w:rPr>
          <w:rFonts w:ascii="Calibri" w:hAnsi="Calibri" w:eastAsia="Calibri"/>
          <w:b/>
          <w:i w:val="0"/>
          <w:color w:val="0F6E6E"/>
          <w:sz w:val="22"/>
        </w:rPr>
        <w:t xml:space="preserve">6. </w:t>
      </w:r>
      <w:r>
        <w:rPr>
          <w:rFonts w:ascii="Calibri" w:hAnsi="Calibri" w:eastAsia="Calibri"/>
          <w:b w:val="0"/>
          <w:i w:val="0"/>
          <w:color w:val="333A42"/>
          <w:sz w:val="22"/>
        </w:rPr>
        <w:t>Ascend uses its Trade Allocation API to allocate its received shares to Ascend customers, with its residual going to the Ascend facilitation account.</w:t>
      </w:r>
    </w:p>
    <w:p>
      <w:pPr>
        <w:spacing w:before="120" w:after="160" w:line="269" w:lineRule="auto"/>
      </w:pPr>
      <w:r>
        <w:rPr>
          <w:rFonts w:ascii="Calibri" w:hAnsi="Calibri" w:eastAsia="Calibri"/>
          <w:b w:val="0"/>
          <w:i w:val="0"/>
          <w:color w:val="333A42"/>
          <w:sz w:val="22"/>
        </w:rPr>
        <w:t>For example, a combined order for 1,000 shares fills at a $10.00 average. The frozen schedule assigns 600 shares to legacy customers and 400 to Ascend customers. Apex leaves 600 in the legacy account and books 400 into the Ascend account at $10.00. Each platform then allocates to its own customers. There is no second market trade and no blended or adjusted price.</w:t>
      </w:r>
    </w:p>
    <w:p>
      <w:pPr>
        <w:spacing w:before="0" w:after="160" w:line="269" w:lineRule="auto"/>
      </w:pPr>
      <w:r>
        <w:rPr>
          <w:rFonts w:ascii="Calibri" w:hAnsi="Calibri" w:eastAsia="Calibri"/>
          <w:b w:val="0"/>
          <w:i w:val="0"/>
          <w:color w:val="333A42"/>
          <w:sz w:val="22"/>
        </w:rPr>
        <w:t>Only whole shares move between the accounts. Each platform handles its own fractional allocation after the split.</w:t>
      </w:r>
    </w:p>
    <w:p>
      <w:pPr>
        <w:spacing w:before="80" w:after="80" w:line="269" w:lineRule="auto"/>
      </w:pPr>
      <w:r>
        <w:rPr>
          <w:rFonts w:ascii="Calibri" w:hAnsi="Calibri" w:eastAsia="Calibri"/>
          <w:b/>
          <w:i w:val="0"/>
          <w:color w:val="1B3A4B"/>
          <w:sz w:val="22"/>
        </w:rPr>
        <w:t>Which Apex mechanism</w:t>
      </w:r>
    </w:p>
    <w:p>
      <w:pPr>
        <w:spacing w:before="0" w:after="160" w:line="269" w:lineRule="auto"/>
      </w:pPr>
      <w:r>
        <w:rPr>
          <w:rFonts w:ascii="Calibri" w:hAnsi="Calibri" w:eastAsia="Calibri"/>
          <w:b w:val="0"/>
          <w:i w:val="0"/>
          <w:color w:val="333A42"/>
          <w:sz w:val="22"/>
        </w:rPr>
        <w:t>When both accounts clear at Apex, the street settlement obligation remains at Apex. Apex moves inventory between the two correspondent accounts on its own books. A DTCC/NSCC step-out is required only if the receiving broker-dealer clears somewhere other than Apex.</w:t>
      </w:r>
    </w:p>
    <w:p>
      <w:pPr>
        <w:spacing w:before="0" w:after="160" w:line="269" w:lineRule="auto"/>
      </w:pPr>
      <w:r>
        <w:rPr>
          <w:rFonts w:ascii="Calibri" w:hAnsi="Calibri" w:eastAsia="Calibri"/>
          <w:b w:val="0"/>
          <w:i w:val="0"/>
          <w:color w:val="333A42"/>
          <w:sz w:val="22"/>
        </w:rPr>
        <w:t>If the Ascend account belongs to a different broker-dealer, this is a broker-to-broker step-out even though Apex clears both sides. Each firm’s books must show it, and the adviser must authorize the allocation. If it is the same broker-dealer with two average-price accounts, it is an internal allocation, but the price, capacity, and execution linkage must be identical.</w:t>
      </w:r>
    </w:p>
    <w:p>
      <w:pPr>
        <w:spacing w:before="0" w:after="160" w:line="269" w:lineRule="auto"/>
      </w:pPr>
      <w:r>
        <w:rPr>
          <w:rFonts w:ascii="Calibri" w:hAnsi="Calibri" w:eastAsia="Calibri"/>
          <w:b w:val="0"/>
          <w:i w:val="0"/>
          <w:color w:val="333A42"/>
          <w:sz w:val="22"/>
        </w:rPr>
        <w:t>Apex has to make the received shares visible in Ascend in time for same-day allocation. A position journal that carries no price or parent-execution link will not support confirmations, cost basis, or an audit.</w:t>
      </w:r>
    </w:p>
    <w:p>
      <w:pPr>
        <w:spacing w:before="80" w:after="80" w:line="269" w:lineRule="auto"/>
      </w:pPr>
      <w:r>
        <w:rPr>
          <w:rFonts w:ascii="Calibri" w:hAnsi="Calibri" w:eastAsia="Calibri"/>
          <w:b/>
          <w:i w:val="0"/>
          <w:color w:val="1B3A4B"/>
          <w:sz w:val="22"/>
        </w:rPr>
        <w:t>Conditions to confirm with Apex</w:t>
      </w:r>
    </w:p>
    <w:p>
      <w:pPr>
        <w:spacing w:before="0" w:after="160" w:line="269" w:lineRule="auto"/>
      </w:pPr>
      <w:r>
        <w:rPr>
          <w:rFonts w:ascii="Calibri" w:hAnsi="Calibri" w:eastAsia="Calibri"/>
          <w:b w:val="0"/>
          <w:i w:val="0"/>
          <w:color w:val="333A42"/>
          <w:sz w:val="22"/>
        </w:rPr>
        <w:t>Ask Apex to demonstrate this in testing with one TraFix fill:</w:t>
      </w:r>
    </w:p>
    <w:p>
      <w:pPr>
        <w:spacing w:before="20" w:after="60" w:line="269" w:lineRule="auto"/>
        <w:ind w:left="504" w:hanging="288"/>
      </w:pPr>
      <w:r>
        <w:rPr>
          <w:rFonts w:ascii="Calibri" w:hAnsi="Calibri" w:eastAsia="Calibri"/>
          <w:b/>
          <w:i w:val="0"/>
          <w:color w:val="0F6E6E"/>
          <w:sz w:val="22"/>
        </w:rPr>
        <w:t xml:space="preserve">• </w:t>
      </w:r>
      <w:r>
        <w:rPr>
          <w:rFonts w:ascii="Calibri" w:hAnsi="Calibri" w:eastAsia="Calibri"/>
          <w:b w:val="0"/>
          <w:i w:val="0"/>
          <w:color w:val="333A42"/>
          <w:sz w:val="22"/>
        </w:rPr>
        <w:t>The Ascend quantity appears in the Ascend average-price account at the identical price and agency capacity.</w:t>
      </w:r>
    </w:p>
    <w:p>
      <w:pPr>
        <w:spacing w:before="20" w:after="60" w:line="269" w:lineRule="auto"/>
        <w:ind w:left="504" w:hanging="288"/>
      </w:pPr>
      <w:r>
        <w:rPr>
          <w:rFonts w:ascii="Calibri" w:hAnsi="Calibri" w:eastAsia="Calibri"/>
          <w:b/>
          <w:i w:val="0"/>
          <w:color w:val="0F6E6E"/>
          <w:sz w:val="22"/>
        </w:rPr>
        <w:t xml:space="preserve">• </w:t>
      </w:r>
      <w:r>
        <w:rPr>
          <w:rFonts w:ascii="Calibri" w:hAnsi="Calibri" w:eastAsia="Calibri"/>
          <w:b w:val="0"/>
          <w:i w:val="0"/>
          <w:color w:val="333A42"/>
          <w:sz w:val="22"/>
        </w:rPr>
        <w:t>Both bookings reference the TraFix execution.</w:t>
      </w:r>
    </w:p>
    <w:p>
      <w:pPr>
        <w:spacing w:before="20" w:after="60" w:line="269" w:lineRule="auto"/>
        <w:ind w:left="504" w:hanging="288"/>
      </w:pPr>
      <w:r>
        <w:rPr>
          <w:rFonts w:ascii="Calibri" w:hAnsi="Calibri" w:eastAsia="Calibri"/>
          <w:b/>
          <w:i w:val="0"/>
          <w:color w:val="0F6E6E"/>
          <w:sz w:val="22"/>
        </w:rPr>
        <w:t xml:space="preserve">• </w:t>
      </w:r>
      <w:r>
        <w:rPr>
          <w:rFonts w:ascii="Calibri" w:hAnsi="Calibri" w:eastAsia="Calibri"/>
          <w:b w:val="0"/>
          <w:i w:val="0"/>
          <w:color w:val="333A42"/>
          <w:sz w:val="22"/>
        </w:rPr>
        <w:t>Ascend can allocate those shares through the Trade Allocation API during the same window.</w:t>
      </w:r>
    </w:p>
    <w:p>
      <w:pPr>
        <w:spacing w:before="20" w:after="60" w:line="269" w:lineRule="auto"/>
        <w:ind w:left="504" w:hanging="288"/>
      </w:pPr>
      <w:r>
        <w:rPr>
          <w:rFonts w:ascii="Calibri" w:hAnsi="Calibri" w:eastAsia="Calibri"/>
          <w:b/>
          <w:i w:val="0"/>
          <w:color w:val="0F6E6E"/>
          <w:sz w:val="22"/>
        </w:rPr>
        <w:t xml:space="preserve">• </w:t>
      </w:r>
      <w:r>
        <w:rPr>
          <w:rFonts w:ascii="Calibri" w:hAnsi="Calibri" w:eastAsia="Calibri"/>
          <w:b w:val="0"/>
          <w:i w:val="0"/>
          <w:color w:val="333A42"/>
          <w:sz w:val="22"/>
        </w:rPr>
        <w:t>A rejected or delayed movement leaves the shares in the legacy account and triggers a documented fallback, rather than silently filling one customer group and missing the other.</w:t>
      </w:r>
    </w:p>
    <w:p>
      <w:pPr>
        <w:spacing w:before="20" w:after="60" w:line="269" w:lineRule="auto"/>
        <w:ind w:left="504" w:hanging="288"/>
      </w:pPr>
      <w:r>
        <w:rPr>
          <w:rFonts w:ascii="Calibri" w:hAnsi="Calibri" w:eastAsia="Calibri"/>
          <w:b/>
          <w:i w:val="0"/>
          <w:color w:val="0F6E6E"/>
          <w:sz w:val="22"/>
        </w:rPr>
        <w:t xml:space="preserve">• </w:t>
      </w:r>
      <w:r>
        <w:rPr>
          <w:rFonts w:ascii="Calibri" w:hAnsi="Calibri" w:eastAsia="Calibri"/>
          <w:b w:val="0"/>
          <w:i w:val="0"/>
          <w:color w:val="333A42"/>
          <w:sz w:val="22"/>
        </w:rPr>
        <w:t>Customer confirmations show the original average price.</w:t>
      </w:r>
    </w:p>
    <w:p>
      <w:pPr>
        <w:spacing w:before="20" w:after="60" w:line="269" w:lineRule="auto"/>
        <w:ind w:left="504" w:hanging="288"/>
      </w:pPr>
      <w:r>
        <w:rPr>
          <w:rFonts w:ascii="Calibri" w:hAnsi="Calibri" w:eastAsia="Calibri"/>
          <w:b/>
          <w:i w:val="0"/>
          <w:color w:val="0F6E6E"/>
          <w:sz w:val="22"/>
        </w:rPr>
        <w:t xml:space="preserve">• </w:t>
      </w:r>
      <w:r>
        <w:rPr>
          <w:rFonts w:ascii="Calibri" w:hAnsi="Calibri" w:eastAsia="Calibri"/>
          <w:b w:val="0"/>
          <w:i w:val="0"/>
          <w:color w:val="333A42"/>
          <w:sz w:val="22"/>
        </w:rPr>
        <w:t>The street report remains one execution; the movement is reported as an allocation or step-out.</w:t>
      </w:r>
    </w:p>
    <w:p>
      <w:pPr>
        <w:spacing w:before="120" w:after="160" w:line="269" w:lineRule="auto"/>
      </w:pPr>
      <w:r>
        <w:rPr>
          <w:rFonts w:ascii="Calibri" w:hAnsi="Calibri" w:eastAsia="Calibri"/>
          <w:b w:val="0"/>
          <w:i w:val="0"/>
          <w:color w:val="333A42"/>
          <w:sz w:val="22"/>
        </w:rPr>
        <w:t>The current advisory agreement contemplates one broker and one average-price account. Using a second account, especially at another broker-dealer, needs a disclosure and authorization update before this becomes the production flow.</w:t>
      </w:r>
    </w:p>
    <w:p>
      <w:pPr>
        <w:spacing w:before="320" w:after="120" w:line="259" w:lineRule="auto"/>
        <w:pBdr>
          <w:bottom w:val="single" w:sz="12" w:space="1" w:color="1B3A4B"/>
        </w:pBdr>
      </w:pPr>
      <w:r>
        <w:rPr>
          <w:rFonts w:ascii="Calibri" w:hAnsi="Calibri" w:eastAsia="Calibri"/>
          <w:b/>
          <w:i w:val="0"/>
          <w:color w:val="1B3A4B"/>
          <w:sz w:val="32"/>
        </w:rPr>
        <w:t>3.  Does a step-out still work with different DTC numbers?</w:t>
      </w:r>
    </w:p>
    <w:p>
      <w:pPr>
        <w:spacing w:before="280" w:after="0" w:line="269" w:lineRule="auto"/>
        <w:shd w:val="clear" w:color="auto" w:fill="E7F0F0"/>
      </w:pPr>
      <w:r>
        <w:rPr>
          <w:rFonts w:ascii="Calibri" w:hAnsi="Calibri" w:eastAsia="Calibri"/>
          <w:b/>
          <w:i w:val="0"/>
          <w:color w:val="1B3A4B"/>
          <w:sz w:val="24"/>
        </w:rPr>
        <w:t>Question 3</w:t>
      </w:r>
    </w:p>
    <w:p>
      <w:pPr>
        <w:spacing w:before="40" w:after="40" w:line="269" w:lineRule="auto"/>
        <w:shd w:val="clear" w:color="auto" w:fill="E7F0F0"/>
      </w:pPr>
      <w:r>
        <w:rPr>
          <w:rFonts w:ascii="Calibri" w:hAnsi="Calibri" w:eastAsia="Calibri"/>
          <w:b w:val="0"/>
          <w:i/>
          <w:color w:val="5C6B73"/>
          <w:sz w:val="18"/>
        </w:rPr>
        <w:t>October 15, 2026</w:t>
      </w:r>
    </w:p>
    <w:p>
      <w:pPr>
        <w:spacing w:before="40" w:after="160" w:line="269" w:lineRule="auto"/>
        <w:shd w:val="clear" w:color="auto" w:fill="F4F8F8"/>
      </w:pPr>
      <w:r>
        <w:rPr>
          <w:rFonts w:ascii="Calibri" w:hAnsi="Calibri" w:eastAsia="Calibri"/>
          <w:b w:val="0"/>
          <w:i w:val="0"/>
          <w:color w:val="333A42"/>
          <w:sz w:val="22"/>
        </w:rPr>
        <w:t>If Apex clears legacy and Ascend accounts at DTCC with different DTC numbers, is this possible?</w:t>
      </w:r>
    </w:p>
    <w:p>
      <w:pPr>
        <w:spacing w:before="160" w:after="80" w:line="269" w:lineRule="auto"/>
      </w:pPr>
      <w:r>
        <w:rPr>
          <w:rFonts w:ascii="Calibri" w:hAnsi="Calibri" w:eastAsia="Calibri"/>
          <w:b/>
          <w:i w:val="0"/>
          <w:color w:val="0F6E6E"/>
          <w:sz w:val="24"/>
        </w:rPr>
        <w:t>Answer</w:t>
      </w:r>
    </w:p>
    <w:p>
      <w:pPr>
        <w:spacing w:before="0" w:after="160" w:line="269" w:lineRule="auto"/>
      </w:pPr>
      <w:r>
        <w:rPr>
          <w:rFonts w:ascii="Calibri" w:hAnsi="Calibri" w:eastAsia="Calibri"/>
          <w:b w:val="0"/>
          <w:i w:val="0"/>
          <w:color w:val="333A42"/>
          <w:sz w:val="22"/>
        </w:rPr>
        <w:t>Yes. Different DTC participant numbers are exactly the case a step-out is built for. The legacy and Ascend shares settle in two separate DTCC boxes, so Apex moves the Ascend quantity with a matched NSCC step-out and step-in on trade date.</w:t>
      </w:r>
    </w:p>
    <w:p>
      <w:pPr>
        <w:spacing w:before="0" w:after="160" w:line="269" w:lineRule="auto"/>
      </w:pPr>
      <w:r>
        <w:rPr>
          <w:rFonts w:ascii="Calibri" w:hAnsi="Calibri" w:eastAsia="Calibri"/>
          <w:b w:val="0"/>
          <w:i w:val="0"/>
          <w:color w:val="333A42"/>
          <w:sz w:val="22"/>
        </w:rPr>
        <w:t>Current Stash accounts clear through Apex Clearing’s DTC participant number 0158. If Ascend uses another participant number, DTCC treats the two sides as separate participants even when both are Apex operations. Apex cannot journal the shares between those boxes inside one average-price account.</w:t>
      </w:r>
    </w:p>
    <w:p>
      <w:pPr>
        <w:spacing w:before="40" w:after="160" w:line="269" w:lineRule="auto"/>
      </w:pPr>
      <w:r>
        <w:rPr>
          <w:rFonts w:ascii="Calibri" w:hAnsi="Calibri" w:eastAsia="Calibri"/>
          <w:b w:val="0"/>
          <w:i w:val="0"/>
          <w:color w:val="333A42"/>
          <w:sz w:val="22"/>
        </w:rPr>
        <w:t>For each symbol and side in a trading window:</w:t>
      </w:r>
    </w:p>
    <w:p>
      <w:pPr>
        <w:spacing w:before="40" w:after="80" w:line="269" w:lineRule="auto"/>
        <w:ind w:left="504" w:hanging="360"/>
      </w:pPr>
      <w:r>
        <w:rPr>
          <w:rFonts w:ascii="Calibri" w:hAnsi="Calibri" w:eastAsia="Calibri"/>
          <w:b/>
          <w:i w:val="0"/>
          <w:color w:val="0F6E6E"/>
          <w:sz w:val="22"/>
        </w:rPr>
        <w:t xml:space="preserve">1. </w:t>
      </w:r>
      <w:r>
        <w:rPr>
          <w:rFonts w:ascii="Calibri" w:hAnsi="Calibri" w:eastAsia="Calibri"/>
          <w:b w:val="0"/>
          <w:i w:val="0"/>
          <w:color w:val="333A42"/>
          <w:sz w:val="22"/>
        </w:rPr>
        <w:t>The TraFix order executes under Apex’s MPID, and the whole fill is booked to the legacy average-price account at DTC 0158.</w:t>
      </w:r>
    </w:p>
    <w:p>
      <w:pPr>
        <w:spacing w:before="40" w:after="80" w:line="269" w:lineRule="auto"/>
        <w:ind w:left="504" w:hanging="360"/>
      </w:pPr>
      <w:r>
        <w:rPr>
          <w:rFonts w:ascii="Calibri" w:hAnsi="Calibri" w:eastAsia="Calibri"/>
          <w:b/>
          <w:i w:val="0"/>
          <w:color w:val="0F6E6E"/>
          <w:sz w:val="22"/>
        </w:rPr>
        <w:t xml:space="preserve">2. </w:t>
      </w:r>
      <w:r>
        <w:rPr>
          <w:rFonts w:ascii="Calibri" w:hAnsi="Calibri" w:eastAsia="Calibri"/>
          <w:b w:val="0"/>
          <w:i w:val="0"/>
          <w:color w:val="333A42"/>
          <w:sz w:val="22"/>
        </w:rPr>
        <w:t>Stash applies the frozen pro-rata schedule to the actual fill and determines the Ascend whole-share quantity.</w:t>
      </w:r>
    </w:p>
    <w:p>
      <w:pPr>
        <w:spacing w:before="40" w:after="80" w:line="269" w:lineRule="auto"/>
        <w:ind w:left="504" w:hanging="360"/>
      </w:pPr>
      <w:r>
        <w:rPr>
          <w:rFonts w:ascii="Calibri" w:hAnsi="Calibri" w:eastAsia="Calibri"/>
          <w:b/>
          <w:i w:val="0"/>
          <w:color w:val="0F6E6E"/>
          <w:sz w:val="22"/>
        </w:rPr>
        <w:t xml:space="preserve">3. </w:t>
      </w:r>
      <w:r>
        <w:rPr>
          <w:rFonts w:ascii="Calibri" w:hAnsi="Calibri" w:eastAsia="Calibri"/>
          <w:b w:val="0"/>
          <w:i w:val="0"/>
          <w:color w:val="333A42"/>
          <w:sz w:val="22"/>
        </w:rPr>
        <w:t>Before the NSCC step-out cutoff, participant 0158 submits a step-out for that quantity at the execution’s average price, on an agency basis, referencing the original trade.</w:t>
      </w:r>
    </w:p>
    <w:p>
      <w:pPr>
        <w:spacing w:before="40" w:after="80" w:line="269" w:lineRule="auto"/>
        <w:ind w:left="504" w:hanging="360"/>
      </w:pPr>
      <w:r>
        <w:rPr>
          <w:rFonts w:ascii="Calibri" w:hAnsi="Calibri" w:eastAsia="Calibri"/>
          <w:b/>
          <w:i w:val="0"/>
          <w:color w:val="0F6E6E"/>
          <w:sz w:val="22"/>
        </w:rPr>
        <w:t xml:space="preserve">4. </w:t>
      </w:r>
      <w:r>
        <w:rPr>
          <w:rFonts w:ascii="Calibri" w:hAnsi="Calibri" w:eastAsia="Calibri"/>
          <w:b w:val="0"/>
          <w:i w:val="0"/>
          <w:color w:val="333A42"/>
          <w:sz w:val="22"/>
        </w:rPr>
        <w:t>The Ascend DTC participant submits a matching step-in for the same security, quantity, price, side, trade date, and capacity.</w:t>
      </w:r>
    </w:p>
    <w:p>
      <w:pPr>
        <w:spacing w:before="40" w:after="80" w:line="269" w:lineRule="auto"/>
        <w:ind w:left="504" w:hanging="360"/>
      </w:pPr>
      <w:r>
        <w:rPr>
          <w:rFonts w:ascii="Calibri" w:hAnsi="Calibri" w:eastAsia="Calibri"/>
          <w:b/>
          <w:i w:val="0"/>
          <w:color w:val="0F6E6E"/>
          <w:sz w:val="22"/>
        </w:rPr>
        <w:t xml:space="preserve">5. </w:t>
      </w:r>
      <w:r>
        <w:rPr>
          <w:rFonts w:ascii="Calibri" w:hAnsi="Calibri" w:eastAsia="Calibri"/>
          <w:b w:val="0"/>
          <w:i w:val="0"/>
          <w:color w:val="333A42"/>
          <w:sz w:val="22"/>
        </w:rPr>
        <w:t>Once NSCC compares the two instructions, the settlement obligation moves to the Ascend participant. On T+1, CNS settles that quantity in the Ascend DTC box.</w:t>
      </w:r>
    </w:p>
    <w:p>
      <w:pPr>
        <w:spacing w:before="40" w:after="80" w:line="269" w:lineRule="auto"/>
        <w:ind w:left="504" w:hanging="360"/>
      </w:pPr>
      <w:r>
        <w:rPr>
          <w:rFonts w:ascii="Calibri" w:hAnsi="Calibri" w:eastAsia="Calibri"/>
          <w:b/>
          <w:i w:val="0"/>
          <w:color w:val="0F6E6E"/>
          <w:sz w:val="22"/>
        </w:rPr>
        <w:t xml:space="preserve">6. </w:t>
      </w:r>
      <w:r>
        <w:rPr>
          <w:rFonts w:ascii="Calibri" w:hAnsi="Calibri" w:eastAsia="Calibri"/>
          <w:b w:val="0"/>
          <w:i w:val="0"/>
          <w:color w:val="333A42"/>
          <w:sz w:val="22"/>
        </w:rPr>
        <w:t>Each participant allocates from its own average-price account. The legacy residual stays in the legacy facilitation account, and the Ascend residual stays in the Ascend facilitation account. Customer allocation happens on trade date; it does not wait for the T+1 DTC movement.</w:t>
      </w:r>
    </w:p>
    <w:p>
      <w:pPr>
        <w:spacing w:before="120" w:after="160" w:line="269" w:lineRule="auto"/>
      </w:pPr>
      <w:r>
        <w:rPr>
          <w:rFonts w:ascii="Calibri" w:hAnsi="Calibri" w:eastAsia="Calibri"/>
          <w:b w:val="0"/>
          <w:i w:val="0"/>
          <w:color w:val="333A42"/>
          <w:sz w:val="22"/>
        </w:rPr>
        <w:t>Only whole shares can be stepped out. Fractional shares remain on the books of the participant that holds them.</w:t>
      </w:r>
    </w:p>
    <w:p>
      <w:pPr>
        <w:spacing w:before="0" w:after="160" w:line="269" w:lineRule="auto"/>
      </w:pPr>
      <w:r>
        <w:rPr>
          <w:rFonts w:ascii="Calibri" w:hAnsi="Calibri" w:eastAsia="Calibri"/>
          <w:b w:val="0"/>
          <w:i w:val="0"/>
          <w:color w:val="333A42"/>
          <w:sz w:val="22"/>
        </w:rPr>
        <w:t>Apex has to enable the two participant numbers as eligible step-out counterparties and confirm that each of the four windows can complete execution, the average-price calculation, submission, matching, and both allocations before the NSCC cutoff. If the step-in is unmatched or the cutoff is missed, the Ascend quantity remains in the legacy DTC box and must follow a documented same-day correction path.</w:t>
      </w:r>
    </w:p>
    <w:p>
      <w:pPr>
        <w:spacing w:before="0" w:after="160" w:line="269" w:lineRule="auto"/>
      </w:pPr>
      <w:r>
        <w:rPr>
          <w:rFonts w:ascii="Calibri" w:hAnsi="Calibri" w:eastAsia="Calibri"/>
          <w:b w:val="0"/>
          <w:i w:val="0"/>
          <w:color w:val="333A42"/>
          <w:sz w:val="22"/>
        </w:rPr>
        <w:t>The Ascend Orders API does not perform this movement. The Ascend Trade Allocation API allocates to Ascend customers after the Ascend participant has accepted the step-in.</w:t>
      </w:r>
    </w:p>
    <w:p>
      <w:pPr>
        <w:spacing w:before="320" w:after="120" w:line="259" w:lineRule="auto"/>
        <w:pBdr>
          <w:bottom w:val="single" w:sz="12" w:space="1" w:color="1B3A4B"/>
        </w:pBdr>
      </w:pPr>
      <w:r>
        <w:rPr>
          <w:rFonts w:ascii="Calibri" w:hAnsi="Calibri" w:eastAsia="Calibri"/>
          <w:b/>
          <w:i w:val="0"/>
          <w:color w:val="1B3A4B"/>
          <w:sz w:val="32"/>
        </w:rPr>
        <w:t>4.  What other ways could this be done?</w:t>
      </w:r>
    </w:p>
    <w:p>
      <w:pPr>
        <w:spacing w:before="280" w:after="0" w:line="269" w:lineRule="auto"/>
        <w:shd w:val="clear" w:color="auto" w:fill="E7F0F0"/>
      </w:pPr>
      <w:r>
        <w:rPr>
          <w:rFonts w:ascii="Calibri" w:hAnsi="Calibri" w:eastAsia="Calibri"/>
          <w:b/>
          <w:i w:val="0"/>
          <w:color w:val="1B3A4B"/>
          <w:sz w:val="24"/>
        </w:rPr>
        <w:t>Question 4</w:t>
      </w:r>
    </w:p>
    <w:p>
      <w:pPr>
        <w:spacing w:before="40" w:after="40" w:line="269" w:lineRule="auto"/>
        <w:shd w:val="clear" w:color="auto" w:fill="E7F0F0"/>
      </w:pPr>
      <w:r>
        <w:rPr>
          <w:rFonts w:ascii="Calibri" w:hAnsi="Calibri" w:eastAsia="Calibri"/>
          <w:b w:val="0"/>
          <w:i/>
          <w:color w:val="5C6B73"/>
          <w:sz w:val="18"/>
        </w:rPr>
        <w:t>October 15, 2026</w:t>
      </w:r>
    </w:p>
    <w:p>
      <w:pPr>
        <w:spacing w:before="40" w:after="160" w:line="269" w:lineRule="auto"/>
        <w:shd w:val="clear" w:color="auto" w:fill="F4F8F8"/>
      </w:pPr>
      <w:r>
        <w:rPr>
          <w:rFonts w:ascii="Calibri" w:hAnsi="Calibri" w:eastAsia="Calibri"/>
          <w:b w:val="0"/>
          <w:i w:val="0"/>
          <w:color w:val="333A42"/>
          <w:sz w:val="22"/>
        </w:rPr>
        <w:t>Is there any other possible way of doing this?</w:t>
      </w:r>
    </w:p>
    <w:p>
      <w:pPr>
        <w:spacing w:before="160" w:after="80" w:line="269" w:lineRule="auto"/>
      </w:pPr>
      <w:r>
        <w:rPr>
          <w:rFonts w:ascii="Calibri" w:hAnsi="Calibri" w:eastAsia="Calibri"/>
          <w:b/>
          <w:i w:val="0"/>
          <w:color w:val="0F6E6E"/>
          <w:sz w:val="24"/>
        </w:rPr>
        <w:t>Answer</w:t>
      </w:r>
    </w:p>
    <w:p>
      <w:pPr>
        <w:spacing w:before="0" w:after="160" w:line="269" w:lineRule="auto"/>
      </w:pPr>
      <w:r>
        <w:rPr>
          <w:rFonts w:ascii="Calibri" w:hAnsi="Calibri" w:eastAsia="Calibri"/>
          <w:b w:val="0"/>
          <w:i w:val="0"/>
          <w:color w:val="333A42"/>
          <w:sz w:val="22"/>
        </w:rPr>
        <w:t>Yes. The step-out is only one way to get both customer groups the same price. There are three workable structures, and the right one depends on whether Apex will settle both platforms under the same DTC participant.</w:t>
      </w:r>
    </w:p>
    <w:p>
      <w:pPr>
        <w:spacing w:before="120" w:after="80" w:line="269" w:lineRule="auto"/>
      </w:pPr>
      <w:r>
        <w:rPr>
          <w:rFonts w:ascii="Calibri" w:hAnsi="Calibri" w:eastAsia="Calibri"/>
          <w:b/>
          <w:i w:val="0"/>
          <w:color w:val="1B3A4B"/>
          <w:sz w:val="22"/>
        </w:rPr>
        <w:t>1. Put both platforms on DTC 0158</w:t>
      </w:r>
    </w:p>
    <w:p>
      <w:pPr>
        <w:spacing w:before="0" w:after="160" w:line="269" w:lineRule="auto"/>
      </w:pPr>
      <w:r>
        <w:rPr>
          <w:rFonts w:ascii="Calibri" w:hAnsi="Calibri" w:eastAsia="Calibri"/>
          <w:b w:val="0"/>
          <w:i w:val="0"/>
          <w:color w:val="333A42"/>
          <w:sz w:val="22"/>
        </w:rPr>
        <w:t>Ask Apex to carry the Ascend average-price account and the new customer accounts under the existing Apex Clearing participant number, 0158. The technology can be Ascend while the settlement box stays the same. One TraFix execution then lands in one average-price account, and Apex allocates internally to legacy and Ascend customers at that average price. No NSCC step-out is required. This best preserves the current advisory-agreement model: one aggregated agency execution, then allocation to each client account.</w:t>
      </w:r>
    </w:p>
    <w:p>
      <w:pPr>
        <w:spacing w:before="120" w:after="80" w:line="269" w:lineRule="auto"/>
      </w:pPr>
      <w:r>
        <w:rPr>
          <w:rFonts w:ascii="Calibri" w:hAnsi="Calibri" w:eastAsia="Calibri"/>
          <w:b/>
          <w:i w:val="0"/>
          <w:color w:val="1B3A4B"/>
          <w:sz w:val="22"/>
        </w:rPr>
        <w:t>2. Use one street execution and vary only who holds it</w:t>
      </w:r>
    </w:p>
    <w:p>
      <w:pPr>
        <w:spacing w:before="0" w:after="160" w:line="269" w:lineRule="auto"/>
      </w:pPr>
      <w:r>
        <w:rPr>
          <w:rFonts w:ascii="Calibri" w:hAnsi="Calibri" w:eastAsia="Calibri"/>
          <w:b w:val="0"/>
          <w:i w:val="0"/>
          <w:color w:val="333A42"/>
          <w:sz w:val="22"/>
        </w:rPr>
        <w:t>If Ascend must have its own DTC number, every one-price design is a trade-date movement between those numbers. The variants are:</w:t>
      </w:r>
    </w:p>
    <w:p>
      <w:pPr>
        <w:spacing w:before="20" w:after="60" w:line="269" w:lineRule="auto"/>
        <w:ind w:left="504" w:hanging="288"/>
      </w:pPr>
      <w:r>
        <w:rPr>
          <w:rFonts w:ascii="Calibri" w:hAnsi="Calibri" w:eastAsia="Calibri"/>
          <w:b/>
          <w:i w:val="0"/>
          <w:color w:val="0F6E6E"/>
          <w:sz w:val="22"/>
        </w:rPr>
        <w:t xml:space="preserve">• </w:t>
      </w:r>
      <w:r>
        <w:rPr>
          <w:rFonts w:ascii="Calibri" w:hAnsi="Calibri" w:eastAsia="Calibri"/>
          <w:b/>
          <w:i w:val="0"/>
          <w:color w:val="1B3A4B"/>
          <w:sz w:val="22"/>
        </w:rPr>
        <w:t xml:space="preserve">Legacy executes, Ascend steps in. </w:t>
      </w:r>
      <w:r>
        <w:rPr>
          <w:rFonts w:ascii="Calibri" w:hAnsi="Calibri" w:eastAsia="Calibri"/>
          <w:b w:val="0"/>
          <w:i w:val="0"/>
          <w:color w:val="333A42"/>
          <w:sz w:val="22"/>
        </w:rPr>
        <w:t>The current TraFix order remains the parent. This fits the launch, when almost all volume is still legacy.</w:t>
      </w:r>
    </w:p>
    <w:p>
      <w:pPr>
        <w:spacing w:before="20" w:after="60" w:line="269" w:lineRule="auto"/>
        <w:ind w:left="504" w:hanging="288"/>
      </w:pPr>
      <w:r>
        <w:rPr>
          <w:rFonts w:ascii="Calibri" w:hAnsi="Calibri" w:eastAsia="Calibri"/>
          <w:b/>
          <w:i w:val="0"/>
          <w:color w:val="0F6E6E"/>
          <w:sz w:val="22"/>
        </w:rPr>
        <w:t xml:space="preserve">• </w:t>
      </w:r>
      <w:r>
        <w:rPr>
          <w:rFonts w:ascii="Calibri" w:hAnsi="Calibri" w:eastAsia="Calibri"/>
          <w:b/>
          <w:i w:val="0"/>
          <w:color w:val="1B3A4B"/>
          <w:sz w:val="22"/>
        </w:rPr>
        <w:t xml:space="preserve">Ascend executes, legacy steps in. </w:t>
      </w:r>
      <w:r>
        <w:rPr>
          <w:rFonts w:ascii="Calibri" w:hAnsi="Calibri" w:eastAsia="Calibri"/>
          <w:b w:val="0"/>
          <w:i w:val="0"/>
          <w:color w:val="333A42"/>
          <w:sz w:val="22"/>
        </w:rPr>
        <w:t>The Orders API order is the parent and 0158 steps in for the legacy quantity. This makes more sense after most assets have moved.</w:t>
      </w:r>
    </w:p>
    <w:p>
      <w:pPr>
        <w:spacing w:before="20" w:after="60" w:line="269" w:lineRule="auto"/>
        <w:ind w:left="504" w:hanging="288"/>
      </w:pPr>
      <w:r>
        <w:rPr>
          <w:rFonts w:ascii="Calibri" w:hAnsi="Calibri" w:eastAsia="Calibri"/>
          <w:b/>
          <w:i w:val="0"/>
          <w:color w:val="0F6E6E"/>
          <w:sz w:val="22"/>
        </w:rPr>
        <w:t xml:space="preserve">• </w:t>
      </w:r>
      <w:r>
        <w:rPr>
          <w:rFonts w:ascii="Calibri" w:hAnsi="Calibri" w:eastAsia="Calibri"/>
          <w:b/>
          <w:i w:val="0"/>
          <w:color w:val="1B3A4B"/>
          <w:sz w:val="22"/>
        </w:rPr>
        <w:t xml:space="preserve">Apex holds the parent in a neutral allocation account and steps out to both DTC numbers. </w:t>
      </w:r>
      <w:r>
        <w:rPr>
          <w:rFonts w:ascii="Calibri" w:hAnsi="Calibri" w:eastAsia="Calibri"/>
          <w:b w:val="0"/>
          <w:i w:val="0"/>
          <w:color w:val="333A42"/>
          <w:sz w:val="22"/>
        </w:rPr>
        <w:t>Neither broker-dealer’s average-price account takes on the other firm’s customer shares. This is the cleaner customer-protection result when the Ascend account belongs to a different broker-dealer.</w:t>
      </w:r>
    </w:p>
    <w:p>
      <w:pPr>
        <w:spacing w:before="80" w:after="160" w:line="269" w:lineRule="auto"/>
      </w:pPr>
      <w:r>
        <w:rPr>
          <w:rFonts w:ascii="Calibri" w:hAnsi="Calibri" w:eastAsia="Calibri"/>
          <w:b w:val="0"/>
          <w:i w:val="0"/>
          <w:color w:val="333A42"/>
          <w:sz w:val="22"/>
        </w:rPr>
        <w:t>All three must match on trade date, at the same average price and agency capacity, for whole shares only. A post-settlement DTC delivery is a correction path, not the daily process.</w:t>
      </w:r>
    </w:p>
    <w:p>
      <w:pPr>
        <w:spacing w:before="120" w:after="80" w:line="269" w:lineRule="auto"/>
      </w:pPr>
      <w:r>
        <w:rPr>
          <w:rFonts w:ascii="Calibri" w:hAnsi="Calibri" w:eastAsia="Calibri"/>
          <w:b/>
          <w:i w:val="0"/>
          <w:color w:val="1B3A4B"/>
          <w:sz w:val="22"/>
        </w:rPr>
        <w:t>3. Send two orders and keep the prices separate</w:t>
      </w:r>
    </w:p>
    <w:p>
      <w:pPr>
        <w:spacing w:before="0" w:after="160" w:line="269" w:lineRule="auto"/>
      </w:pPr>
      <w:r>
        <w:rPr>
          <w:rFonts w:ascii="Calibri" w:hAnsi="Calibri" w:eastAsia="Calibri"/>
          <w:b w:val="0"/>
          <w:i w:val="0"/>
          <w:color w:val="333A42"/>
          <w:sz w:val="22"/>
        </w:rPr>
        <w:t>Stash keeps one pre-trade blotter, releases a legacy TraFix order and an Ascend order together, and allocates each fill only to the customers behind it. Ascend can use its basket and compressed-order flow for its own accounts. Customers receive the actual average price of their own block. This needs no cross-participant settlement and is the practical November 15 design if Apex cannot certify a step-out through all four windows. The fairness control is simultaneous release, the same order type, and a daily comparison of the two prices.</w:t>
      </w:r>
    </w:p>
    <w:p>
      <w:pPr>
        <w:spacing w:before="80" w:after="160" w:line="269" w:lineRule="auto"/>
      </w:pPr>
      <w:r>
        <w:rPr>
          <w:rFonts w:ascii="Calibri" w:hAnsi="Calibri" w:eastAsia="Calibri"/>
          <w:b w:val="0"/>
          <w:i w:val="0"/>
          <w:color w:val="333A42"/>
          <w:sz w:val="22"/>
        </w:rPr>
        <w:t>Within any of these structures, net buys and sells in each symbol before routing. Netting across the two DTC numbers still requires the step-out or the shared participant number.</w:t>
      </w:r>
    </w:p>
    <w:p>
      <w:pPr>
        <w:spacing w:before="0" w:after="160" w:line="269" w:lineRule="auto"/>
      </w:pPr>
      <w:r>
        <w:rPr>
          <w:rFonts w:ascii="Calibri" w:hAnsi="Calibri" w:eastAsia="Calibri"/>
          <w:b w:val="0"/>
          <w:i w:val="0"/>
          <w:color w:val="333A42"/>
          <w:sz w:val="22"/>
        </w:rPr>
        <w:t>Two other approaches do not solve the daily flow. Transferring settled positions from the legacy account to Ascend by ACAT leaves fractional shares behind and misses trade-date allocation. Paying customers the difference between the two average prices leaves the confirmation showing a different price from the one the customer actually received.</w:t>
      </w:r>
    </w:p>
    <w:p>
      <w:pPr>
        <w:spacing w:before="80" w:after="160" w:line="269" w:lineRule="auto"/>
      </w:pPr>
      <w:r>
        <w:rPr>
          <w:rFonts w:ascii="Calibri" w:hAnsi="Calibri" w:eastAsia="Calibri"/>
          <w:b w:val="0"/>
          <w:i w:val="0"/>
          <w:color w:val="333A42"/>
          <w:sz w:val="22"/>
        </w:rPr>
        <w:t>For November 15, press Apex on structure 1 first. If the DTC numbers must differ, use separate simultaneous orders at launch and move to a trade-date step-out once Apex can match it in every window.</w:t>
      </w:r>
    </w:p>
    <w:p>
      <w:pPr>
        <w:spacing w:before="320" w:after="120" w:line="259" w:lineRule="auto"/>
        <w:pBdr>
          <w:bottom w:val="single" w:sz="12" w:space="1" w:color="1B3A4B"/>
        </w:pBdr>
      </w:pPr>
      <w:r>
        <w:rPr>
          <w:rFonts w:ascii="Calibri" w:hAnsi="Calibri" w:eastAsia="Calibri"/>
          <w:b/>
          <w:i w:val="0"/>
          <w:color w:val="1B3A4B"/>
          <w:sz w:val="32"/>
        </w:rPr>
        <w:t>5.  Request for this document</w:t>
      </w:r>
    </w:p>
    <w:p>
      <w:pPr>
        <w:spacing w:before="280" w:after="0" w:line="269" w:lineRule="auto"/>
        <w:shd w:val="clear" w:color="auto" w:fill="E7F0F0"/>
      </w:pPr>
      <w:r>
        <w:rPr>
          <w:rFonts w:ascii="Calibri" w:hAnsi="Calibri" w:eastAsia="Calibri"/>
          <w:b/>
          <w:i w:val="0"/>
          <w:color w:val="1B3A4B"/>
          <w:sz w:val="24"/>
        </w:rPr>
        <w:t>Question 5</w:t>
      </w:r>
    </w:p>
    <w:p>
      <w:pPr>
        <w:spacing w:before="40" w:after="40" w:line="269" w:lineRule="auto"/>
        <w:shd w:val="clear" w:color="auto" w:fill="E7F0F0"/>
      </w:pPr>
      <w:r>
        <w:rPr>
          <w:rFonts w:ascii="Calibri" w:hAnsi="Calibri" w:eastAsia="Calibri"/>
          <w:b w:val="0"/>
          <w:i/>
          <w:color w:val="5C6B73"/>
          <w:sz w:val="18"/>
        </w:rPr>
        <w:t>October 16, 2026</w:t>
      </w:r>
    </w:p>
    <w:p>
      <w:pPr>
        <w:spacing w:before="40" w:after="160" w:line="269" w:lineRule="auto"/>
        <w:shd w:val="clear" w:color="auto" w:fill="F4F8F8"/>
      </w:pPr>
      <w:r>
        <w:rPr>
          <w:rFonts w:ascii="Calibri" w:hAnsi="Calibri" w:eastAsia="Calibri"/>
          <w:b w:val="0"/>
          <w:i w:val="0"/>
          <w:color w:val="333A42"/>
          <w:sz w:val="22"/>
        </w:rPr>
        <w:t>Can you download this entire thread into a Word document?</w:t>
      </w:r>
    </w:p>
    <w:p>
      <w:pPr>
        <w:spacing w:before="160" w:after="160" w:line="269" w:lineRule="auto"/>
      </w:pPr>
      <w:r>
        <w:rPr>
          <w:rFonts w:ascii="Calibri" w:hAnsi="Calibri" w:eastAsia="Calibri"/>
          <w:b w:val="0"/>
          <w:i w:val="0"/>
          <w:color w:val="333A42"/>
          <w:sz w:val="22"/>
        </w:rPr>
        <w:t>This file is that document. It contains the four trading and allocation questions and the answers given in the thread, followed by this request.</w:t>
      </w:r>
    </w:p>
    <w:sectPr w:rsidR="00FC693F" w:rsidRPr="0006063C" w:rsidSect="00034616">
      <w:headerReference w:type="default" r:id="rId9"/>
      <w:footerReference w:type="default" r:id="rId10"/>
      <w:pgSz w:w="12240" w:h="15840"/>
      <w:pgMar w:top="1224" w:right="1368" w:bottom="1152" w:left="1368"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5C6B73"/>
        <w:sz w:val="18"/>
      </w:rPr>
      <w:t xml:space="preserve">Discussion transcript  ·  October 15–16, 2026  ·  </w:t>
    </w:r>
    <w:r>
      <w:rPr>
        <w:rFonts w:ascii="Calibri" w:hAnsi="Calibri" w:eastAsia="Calibri"/>
        <w:b w:val="0"/>
        <w:i w:val="0"/>
        <w:color w:val="5C6B73"/>
        <w:sz w:val="18"/>
      </w:rPr>
      <w:t xml:space="preserve">Page </w:t>
    </w:r>
    <w:r>
      <w:rPr>
        <w:rFonts w:ascii="Calibri" w:hAnsi="Calibri" w:eastAsia="Calibri"/>
        <w:b w:val="0"/>
        <w:i w:val="0"/>
        <w:color w:val="5C6B73"/>
        <w:sz w:val="18"/>
      </w:rPr>
      <w:fldChar w:fldCharType="begin"/>
      <w:instrText xml:space="preserve"> PAGE </w:instrText>
      <w:fldChar w:fldCharType="end"/>
    </w:r>
    <w:r>
      <w:rPr>
        <w:rFonts w:ascii="Calibri" w:hAnsi="Calibri" w:eastAsia="Calibri"/>
        <w:b w:val="0"/>
        <w:i w:val="0"/>
        <w:color w:val="5C6B73"/>
        <w:sz w:val="18"/>
      </w:rPr>
      <w:t xml:space="preserve"> of </w:t>
    </w:r>
    <w:r>
      <w:rPr>
        <w:rFonts w:ascii="Calibri" w:hAnsi="Calibri" w:eastAsia="Calibri"/>
        <w:b w:val="0"/>
        <w:i w:val="0"/>
        <w:color w:val="5C6B73"/>
        <w:sz w:val="18"/>
      </w:rP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Calibri"/>
        <w:b w:val="0"/>
        <w:i w:val="0"/>
        <w:color w:val="5C6B73"/>
        <w:sz w:val="18"/>
      </w:rPr>
      <w:t>Stash Investments  ·  Apex Legacy to Apex Ascend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A4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