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b/>
          <w:bCs/>
          <w:color w:val="1A3A6A"/>
          <w:sz w:val="52"/>
          <w:szCs w:val="52"/>
        </w:rPr>
        <w:t xml:space="preserve">FLUJOS DE REVENUE EXPANSION</w:t>
      </w:r>
    </w:p>
    <w:p>
      <w:pPr>
        <w:spacing w:after="120" w:before="0"/>
        <w:jc w:val="center"/>
      </w:pPr>
      <w:r>
        <w:rPr>
          <w:rFonts w:ascii="Calibri" w:cs="Calibri" w:eastAsia="Calibri" w:hAnsi="Calibri"/>
          <w:color w:val="1A56A0"/>
          <w:sz w:val="34"/>
          <w:szCs w:val="34"/>
        </w:rPr>
        <w:t xml:space="preserve">Cross-Selling · Up-Selling · Parcerias</w:t>
      </w:r>
    </w:p>
    <w:p>
      <w:pPr>
        <w:spacing w:after="800" w:before="60"/>
        <w:jc w:val="center"/>
      </w:pPr>
      <w:r>
        <w:rPr>
          <w:rFonts w:ascii="Calibri" w:cs="Calibri" w:eastAsia="Calibri" w:hAnsi="Calibri"/>
          <w:i/>
          <w:iCs/>
          <w:color w:val="888888"/>
          <w:sz w:val="20"/>
          <w:szCs w:val="20"/>
        </w:rPr>
        <w:t xml:space="preserve">Manual Operativo — Customer Success AnyMarket LATAM | 2026</w:t>
      </w:r>
    </w:p>
    <w:p>
      <w:r>
        <w:br w:type="page"/>
      </w:r>
    </w:p>
    <w:p>
      <w:pPr>
        <w:pStyle w:val="Heading1"/>
        <w:spacing w:after="180" w:before="360"/>
      </w:pPr>
      <w:r>
        <w:rPr>
          <w:rFonts w:ascii="Calibri" w:cs="Calibri" w:eastAsia="Calibri" w:hAnsi="Calibri"/>
          <w:b/>
          <w:bCs/>
          <w:color w:val="1A3A6A"/>
          <w:sz w:val="36"/>
          <w:szCs w:val="36"/>
        </w:rPr>
        <w:t xml:space="preserve">1. Ecosistema de Revenue Expansion</w:t>
      </w:r>
    </w:p>
    <w:p>
      <w:pPr>
        <w:spacing w:after="80" w:before="60"/>
      </w:pPr>
      <w:r>
        <w:rPr>
          <w:rFonts w:ascii="Calibri" w:cs="Calibri" w:eastAsia="Calibri" w:hAnsi="Calibri"/>
          <w:color w:val="333333"/>
          <w:sz w:val="22"/>
          <w:szCs w:val="22"/>
        </w:rPr>
        <w:t xml:space="preserve">AnyMarket cuenta con tres mecanismos coordinados para expandir el revenue de su cartera. Cada uno actúa sobre un perfil de cliente diferente y requiere una metodología distinta.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CCCCCC" w:sz="1"/>
              <w:left w:val="single" w:color="CCCCCC" w:sz="1"/>
              <w:bottom w:val="single" w:color="CCCCCC" w:sz="1"/>
              <w:right w:val="single" w:color="CCCCCC" w:sz="1"/>
            </w:tcBorders>
            <w:shd w:fill="1A3A6A" w:val="clear"/>
            <w:tcMar>
              <w:top w:type="dxa" w:w="100"/>
              <w:left w:type="dxa" w:w="120"/>
              <w:bottom w:type="dxa" w:w="100"/>
              <w:right w:type="dxa" w:w="120"/>
            </w:tcMar>
          </w:tcPr>
          <w:p>
            <w:r>
              <w:rPr>
                <w:rFonts w:ascii="Calibri" w:cs="Calibri" w:eastAsia="Calibri" w:hAnsi="Calibri"/>
                <w:b/>
                <w:bCs/>
                <w:color w:val="FFFFFF"/>
                <w:sz w:val="20"/>
                <w:szCs w:val="20"/>
              </w:rPr>
              <w:t xml:space="preserve">Flujo</w:t>
            </w:r>
          </w:p>
        </w:tc>
        <w:tc>
          <w:tcPr>
            <w:tcW w:type="dxa" w:w="3900"/>
            <w:tcBorders>
              <w:top w:val="single" w:color="CCCCCC" w:sz="1"/>
              <w:left w:val="single" w:color="CCCCCC" w:sz="1"/>
              <w:bottom w:val="single" w:color="CCCCCC" w:sz="1"/>
              <w:right w:val="single" w:color="CCCCCC" w:sz="1"/>
            </w:tcBorders>
            <w:shd w:fill="1A3A6A" w:val="clear"/>
            <w:tcMar>
              <w:top w:type="dxa" w:w="100"/>
              <w:left w:type="dxa" w:w="120"/>
              <w:bottom w:type="dxa" w:w="100"/>
              <w:right w:type="dxa" w:w="120"/>
            </w:tcMar>
          </w:tcPr>
          <w:p>
            <w:r>
              <w:rPr>
                <w:rFonts w:ascii="Calibri" w:cs="Calibri" w:eastAsia="Calibri" w:hAnsi="Calibri"/>
                <w:b/>
                <w:bCs/>
                <w:color w:val="FFFFFF"/>
                <w:sz w:val="20"/>
                <w:szCs w:val="20"/>
              </w:rPr>
              <w:t xml:space="preserve">Perfil de cliente</w:t>
            </w:r>
          </w:p>
        </w:tc>
        <w:tc>
          <w:tcPr>
            <w:tcW w:type="dxa" w:w="3900"/>
            <w:tcBorders>
              <w:top w:val="single" w:color="CCCCCC" w:sz="1"/>
              <w:left w:val="single" w:color="CCCCCC" w:sz="1"/>
              <w:bottom w:val="single" w:color="CCCCCC" w:sz="1"/>
              <w:right w:val="single" w:color="CCCCCC" w:sz="1"/>
            </w:tcBorders>
            <w:shd w:fill="1A3A6A" w:val="clear"/>
            <w:tcMar>
              <w:top w:type="dxa" w:w="100"/>
              <w:left w:type="dxa" w:w="120"/>
              <w:bottom w:type="dxa" w:w="100"/>
              <w:right w:type="dxa" w:w="120"/>
            </w:tcMar>
          </w:tcPr>
          <w:p>
            <w:r>
              <w:rPr>
                <w:rFonts w:ascii="Calibri" w:cs="Calibri" w:eastAsia="Calibri" w:hAnsi="Calibri"/>
                <w:b/>
                <w:bCs/>
                <w:color w:val="FFFFFF"/>
                <w:sz w:val="20"/>
                <w:szCs w:val="20"/>
              </w:rPr>
              <w:t xml:space="preserve">Objetivo</w:t>
            </w:r>
          </w:p>
        </w:tc>
      </w:tr>
      <w:tr>
        <w:tc>
          <w:tcPr>
            <w:tcW w:type="dxa" w:w="15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Calibri" w:cs="Calibri" w:eastAsia="Calibri" w:hAnsi="Calibri"/>
                <w:b/>
                <w:bCs/>
                <w:color w:val="1A56A0"/>
                <w:sz w:val="20"/>
                <w:szCs w:val="20"/>
              </w:rPr>
              <w:t xml:space="preserve">Cross-Selling</w:t>
            </w:r>
          </w:p>
        </w:tc>
        <w:tc>
          <w:tcPr>
            <w:tcW w:type="dxa" w:w="39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Calibri" w:cs="Calibri" w:eastAsia="Calibri" w:hAnsi="Calibri"/>
                <w:sz w:val="20"/>
                <w:szCs w:val="20"/>
              </w:rPr>
              <w:t xml:space="preserve">Cliente activo, producto complementario ausente</w:t>
            </w:r>
          </w:p>
        </w:tc>
        <w:tc>
          <w:tcPr>
            <w:tcW w:type="dxa" w:w="39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Calibri" w:cs="Calibri" w:eastAsia="Calibri" w:hAnsi="Calibri"/>
                <w:sz w:val="20"/>
                <w:szCs w:val="20"/>
              </w:rPr>
              <w:t xml:space="preserve">Agregar nuevos productos/módulos al contrato</w:t>
            </w:r>
          </w:p>
        </w:tc>
      </w:tr>
      <w:tr>
        <w:tc>
          <w:tcPr>
            <w:tcW w:type="dxa" w:w="156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r>
              <w:rPr>
                <w:rFonts w:ascii="Calibri" w:cs="Calibri" w:eastAsia="Calibri" w:hAnsi="Calibri"/>
                <w:b/>
                <w:bCs/>
                <w:color w:val="2A6A2A"/>
                <w:sz w:val="20"/>
                <w:szCs w:val="20"/>
              </w:rPr>
              <w:t xml:space="preserve">Up-Selling</w:t>
            </w:r>
          </w:p>
        </w:tc>
        <w:tc>
          <w:tcPr>
            <w:tcW w:type="dxa" w:w="39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r>
              <w:rPr>
                <w:rFonts w:ascii="Calibri" w:cs="Calibri" w:eastAsia="Calibri" w:hAnsi="Calibri"/>
                <w:sz w:val="20"/>
                <w:szCs w:val="20"/>
              </w:rPr>
              <w:t xml:space="preserve">Cliente activo, usando menos de lo contratado</w:t>
            </w:r>
          </w:p>
        </w:tc>
        <w:tc>
          <w:tcPr>
            <w:tcW w:type="dxa" w:w="39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r>
              <w:rPr>
                <w:rFonts w:ascii="Calibri" w:cs="Calibri" w:eastAsia="Calibri" w:hAnsi="Calibri"/>
                <w:sz w:val="20"/>
                <w:szCs w:val="20"/>
              </w:rPr>
              <w:t xml:space="preserve">Hacer crecer el valor del contrato actual</w:t>
            </w:r>
          </w:p>
        </w:tc>
      </w:tr>
      <w:tr>
        <w:tc>
          <w:tcPr>
            <w:tcW w:type="dxa" w:w="15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Calibri" w:cs="Calibri" w:eastAsia="Calibri" w:hAnsi="Calibri"/>
                <w:b/>
                <w:bCs/>
                <w:color w:val="8A4000"/>
                <w:sz w:val="20"/>
                <w:szCs w:val="20"/>
              </w:rPr>
              <w:t xml:space="preserve">Parcerias</w:t>
            </w:r>
          </w:p>
        </w:tc>
        <w:tc>
          <w:tcPr>
            <w:tcW w:type="dxa" w:w="3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Calibri" w:cs="Calibri" w:eastAsia="Calibri" w:hAnsi="Calibri"/>
                <w:sz w:val="20"/>
                <w:szCs w:val="20"/>
              </w:rPr>
              <w:t xml:space="preserve">Nuevo seller (sin AnyMarket) o cliente existente con brechas detectadas por el marketplace</w:t>
            </w:r>
          </w:p>
        </w:tc>
        <w:tc>
          <w:tcPr>
            <w:tcW w:type="dxa" w:w="3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Calibri" w:cs="Calibri" w:eastAsia="Calibri" w:hAnsi="Calibri"/>
                <w:sz w:val="20"/>
                <w:szCs w:val="20"/>
              </w:rPr>
              <w:t xml:space="preserve">Convertir leads del marketplace en clientes activos o ampliar adopción de clientes existentes</w:t>
            </w:r>
          </w:p>
        </w:tc>
      </w:tr>
    </w:tbl>
    <w:p>
      <w:pPr>
        <w:spacing w:after="60" w:before="60"/>
      </w:pPr>
      <w:r>
        <w:t xml:space="preserve"/>
      </w:r>
    </w:p>
    <w:p>
      <w:r>
        <w:br w:type="page"/>
      </w:r>
    </w:p>
    <w:p>
      <w:pPr>
        <w:pStyle w:val="Heading1"/>
        <w:spacing w:after="180" w:before="360"/>
      </w:pPr>
      <w:r>
        <w:rPr>
          <w:rFonts w:ascii="Calibri" w:cs="Calibri" w:eastAsia="Calibri" w:hAnsi="Calibri"/>
          <w:b/>
          <w:bCs/>
          <w:color w:val="1A3A6A"/>
          <w:sz w:val="36"/>
          <w:szCs w:val="36"/>
        </w:rPr>
        <w:t xml:space="preserve">2. Flujo de Cross-Selling</w:t>
      </w:r>
    </w:p>
    <w:p>
      <w:pPr>
        <w:pStyle w:val="Heading2"/>
        <w:spacing w:after="120" w:before="280"/>
      </w:pPr>
      <w:r>
        <w:rPr>
          <w:rFonts w:ascii="Calibri" w:cs="Calibri" w:eastAsia="Calibri" w:hAnsi="Calibri"/>
          <w:b/>
          <w:bCs/>
          <w:color w:val="1A56A0"/>
          <w:sz w:val="28"/>
          <w:szCs w:val="28"/>
        </w:rPr>
        <w:t xml:space="preserve">2.1 Definición</w:t>
      </w:r>
    </w:p>
    <w:p>
      <w:pPr>
        <w:spacing w:after="80" w:before="60"/>
      </w:pPr>
      <w:r>
        <w:rPr>
          <w:rFonts w:ascii="Calibri" w:cs="Calibri" w:eastAsia="Calibri" w:hAnsi="Calibri"/>
          <w:sz w:val="22"/>
          <w:szCs w:val="22"/>
        </w:rPr>
        <w:t xml:space="preserve">Cross-Selling es la venta de productos complementarios a un cliente que ya opera en AnyMarket. El cliente no necesita más del mismo producto — necesita otro producto que potencie su operación actual.</w:t>
      </w:r>
    </w:p>
    <w:p>
      <w:pPr>
        <w:spacing w:after="60" w:before="60"/>
      </w:pPr>
      <w:r>
        <w:t xml:space="preserve"/>
      </w:r>
    </w:p>
    <w:p>
      <w:pPr>
        <w:pStyle w:val="Heading2"/>
        <w:spacing w:after="120" w:before="280"/>
      </w:pPr>
      <w:r>
        <w:rPr>
          <w:rFonts w:ascii="Calibri" w:cs="Calibri" w:eastAsia="Calibri" w:hAnsi="Calibri"/>
          <w:b/>
          <w:bCs/>
          <w:color w:val="1A56A0"/>
          <w:sz w:val="28"/>
          <w:szCs w:val="28"/>
        </w:rPr>
        <w:t xml:space="preserve">2.2 Portafolio de Cross-Selling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0"/>
            <w:tcBorders>
              <w:top w:val="single" w:color="CCCCCC" w:sz="1"/>
              <w:left w:val="single" w:color="CCCCCC" w:sz="1"/>
              <w:bottom w:val="single" w:color="CCCCCC" w:sz="1"/>
              <w:right w:val="single" w:color="CCCCCC" w:sz="1"/>
            </w:tcBorders>
            <w:shd w:fill="1A3A6A" w:val="clear"/>
            <w:tcMar>
              <w:top w:type="dxa" w:w="80"/>
              <w:left w:type="dxa" w:w="100"/>
              <w:bottom w:type="dxa" w:w="80"/>
              <w:right w:type="dxa" w:w="100"/>
            </w:tcMar>
          </w:tcPr>
          <w:p>
            <w:r>
              <w:rPr>
                <w:rFonts w:ascii="Calibri" w:cs="Calibri" w:eastAsia="Calibri" w:hAnsi="Calibri"/>
                <w:b/>
                <w:bCs/>
                <w:color w:val="FFFFFF"/>
                <w:sz w:val="18"/>
                <w:szCs w:val="18"/>
              </w:rPr>
              <w:t xml:space="preserve">Producto</w:t>
            </w:r>
          </w:p>
        </w:tc>
        <w:tc>
          <w:tcPr>
            <w:tcW w:type="dxa" w:w="0"/>
            <w:tcBorders>
              <w:top w:val="single" w:color="CCCCCC" w:sz="1"/>
              <w:left w:val="single" w:color="CCCCCC" w:sz="1"/>
              <w:bottom w:val="single" w:color="CCCCCC" w:sz="1"/>
              <w:right w:val="single" w:color="CCCCCC" w:sz="1"/>
            </w:tcBorders>
            <w:shd w:fill="1A3A6A" w:val="clear"/>
            <w:tcMar>
              <w:top w:type="dxa" w:w="80"/>
              <w:left w:type="dxa" w:w="100"/>
              <w:bottom w:type="dxa" w:w="80"/>
              <w:right w:type="dxa" w:w="100"/>
            </w:tcMar>
          </w:tcPr>
          <w:p>
            <w:r>
              <w:rPr>
                <w:rFonts w:ascii="Calibri" w:cs="Calibri" w:eastAsia="Calibri" w:hAnsi="Calibri"/>
                <w:b/>
                <w:bCs/>
                <w:color w:val="FFFFFF"/>
                <w:sz w:val="18"/>
                <w:szCs w:val="18"/>
              </w:rPr>
              <w:t xml:space="preserve">Problema que resuelve</w:t>
            </w:r>
          </w:p>
        </w:tc>
        <w:tc>
          <w:tcPr>
            <w:tcW w:type="dxa" w:w="0"/>
            <w:tcBorders>
              <w:top w:val="single" w:color="CCCCCC" w:sz="1"/>
              <w:left w:val="single" w:color="CCCCCC" w:sz="1"/>
              <w:bottom w:val="single" w:color="CCCCCC" w:sz="1"/>
              <w:right w:val="single" w:color="CCCCCC" w:sz="1"/>
            </w:tcBorders>
            <w:shd w:fill="1A3A6A" w:val="clear"/>
            <w:tcMar>
              <w:top w:type="dxa" w:w="80"/>
              <w:left w:type="dxa" w:w="100"/>
              <w:bottom w:type="dxa" w:w="80"/>
              <w:right w:type="dxa" w:w="100"/>
            </w:tcMar>
          </w:tcPr>
          <w:p>
            <w:r>
              <w:rPr>
                <w:rFonts w:ascii="Calibri" w:cs="Calibri" w:eastAsia="Calibri" w:hAnsi="Calibri"/>
                <w:b/>
                <w:bCs/>
                <w:color w:val="FFFFFF"/>
                <w:sz w:val="18"/>
                <w:szCs w:val="18"/>
              </w:rPr>
              <w:t xml:space="preserve">Signal de alerta</w:t>
            </w:r>
          </w:p>
        </w:tc>
        <w:tc>
          <w:tcPr>
            <w:tcW w:type="dxa" w:w="0"/>
            <w:tcBorders>
              <w:top w:val="single" w:color="CCCCCC" w:sz="1"/>
              <w:left w:val="single" w:color="CCCCCC" w:sz="1"/>
              <w:bottom w:val="single" w:color="CCCCCC" w:sz="1"/>
              <w:right w:val="single" w:color="CCCCCC" w:sz="1"/>
            </w:tcBorders>
            <w:shd w:fill="1A3A6A" w:val="clear"/>
            <w:tcMar>
              <w:top w:type="dxa" w:w="80"/>
              <w:left w:type="dxa" w:w="100"/>
              <w:bottom w:type="dxa" w:w="80"/>
              <w:right w:type="dxa" w:w="100"/>
            </w:tcMar>
          </w:tcPr>
          <w:p>
            <w:r>
              <w:rPr>
                <w:rFonts w:ascii="Calibri" w:cs="Calibri" w:eastAsia="Calibri" w:hAnsi="Calibri"/>
                <w:b/>
                <w:bCs/>
                <w:color w:val="FFFFFF"/>
                <w:sz w:val="18"/>
                <w:szCs w:val="18"/>
              </w:rPr>
              <w:t xml:space="preserve">Acción CSM</w:t>
            </w:r>
          </w:p>
        </w:tc>
      </w:tr>
      <w:tr>
        <w:tc>
          <w:tcPr>
            <w:tcW w:type="dxa" w:w="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alibri" w:cs="Calibri" w:eastAsia="Calibri" w:hAnsi="Calibri"/>
                <w:sz w:val="18"/>
                <w:szCs w:val="18"/>
              </w:rPr>
              <w:t xml:space="preserve">Predize (Repricing)</w:t>
            </w:r>
          </w:p>
        </w:tc>
        <w:tc>
          <w:tcPr>
            <w:tcW w:type="dxa" w:w="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alibri" w:cs="Calibri" w:eastAsia="Calibri" w:hAnsi="Calibri"/>
                <w:sz w:val="18"/>
                <w:szCs w:val="18"/>
              </w:rPr>
              <w:t xml:space="preserve">Precios no competitivos en marketplace</w:t>
            </w:r>
          </w:p>
        </w:tc>
        <w:tc>
          <w:tcPr>
            <w:tcW w:type="dxa" w:w="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alibri" w:cs="Calibri" w:eastAsia="Calibri" w:hAnsi="Calibri"/>
                <w:sz w:val="18"/>
                <w:szCs w:val="18"/>
              </w:rPr>
              <w:t xml:space="preserve">UP% estancado, bajo GMV vs benchmark</w:t>
            </w:r>
          </w:p>
        </w:tc>
        <w:tc>
          <w:tcPr>
            <w:tcW w:type="dxa" w:w="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alibri" w:cs="Calibri" w:eastAsia="Calibri" w:hAnsi="Calibri"/>
                <w:sz w:val="18"/>
                <w:szCs w:val="18"/>
              </w:rPr>
              <w:t xml:space="preserve">Demo + caso de éxito sector</w:t>
            </w:r>
          </w:p>
        </w:tc>
      </w:tr>
      <w:tr>
        <w:tc>
          <w:tcPr>
            <w:tcW w:type="dxa" w:w="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alibri" w:cs="Calibri" w:eastAsia="Calibri" w:hAnsi="Calibri"/>
                <w:sz w:val="18"/>
                <w:szCs w:val="18"/>
              </w:rPr>
              <w:t xml:space="preserve">Koncili (Conciliación)</w:t>
            </w:r>
          </w:p>
        </w:tc>
        <w:tc>
          <w:tcPr>
            <w:tcW w:type="dxa" w:w="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alibri" w:cs="Calibri" w:eastAsia="Calibri" w:hAnsi="Calibri"/>
                <w:sz w:val="18"/>
                <w:szCs w:val="18"/>
              </w:rPr>
              <w:t xml:space="preserve">Recibos del marketplace no cuadran con ERP</w:t>
            </w:r>
          </w:p>
        </w:tc>
        <w:tc>
          <w:tcPr>
            <w:tcW w:type="dxa" w:w="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alibri" w:cs="Calibri" w:eastAsia="Calibri" w:hAnsi="Calibri"/>
                <w:sz w:val="18"/>
                <w:szCs w:val="18"/>
              </w:rPr>
              <w:t xml:space="preserve">Queja en tickets o NPS sobre finanzas</w:t>
            </w:r>
          </w:p>
        </w:tc>
        <w:tc>
          <w:tcPr>
            <w:tcW w:type="dxa" w:w="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alibri" w:cs="Calibri" w:eastAsia="Calibri" w:hAnsi="Calibri"/>
                <w:sz w:val="18"/>
                <w:szCs w:val="18"/>
              </w:rPr>
              <w:t xml:space="preserve">Proponer auditoría gratuita</w:t>
            </w:r>
          </w:p>
        </w:tc>
      </w:tr>
      <w:tr>
        <w:tc>
          <w:tcPr>
            <w:tcW w:type="dxa" w:w="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alibri" w:cs="Calibri" w:eastAsia="Calibri" w:hAnsi="Calibri"/>
                <w:sz w:val="18"/>
                <w:szCs w:val="18"/>
              </w:rPr>
              <w:t xml:space="preserve">WinnerBox (BI)</w:t>
            </w:r>
          </w:p>
        </w:tc>
        <w:tc>
          <w:tcPr>
            <w:tcW w:type="dxa" w:w="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alibri" w:cs="Calibri" w:eastAsia="Calibri" w:hAnsi="Calibri"/>
                <w:sz w:val="18"/>
                <w:szCs w:val="18"/>
              </w:rPr>
              <w:t xml:space="preserve">Sin visibilidad de performance por canal</w:t>
            </w:r>
          </w:p>
        </w:tc>
        <w:tc>
          <w:tcPr>
            <w:tcW w:type="dxa" w:w="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alibri" w:cs="Calibri" w:eastAsia="Calibri" w:hAnsi="Calibri"/>
                <w:sz w:val="18"/>
                <w:szCs w:val="18"/>
              </w:rPr>
              <w:t xml:space="preserve">Decisiones sin datos, GMV sin dirección</w:t>
            </w:r>
          </w:p>
        </w:tc>
        <w:tc>
          <w:tcPr>
            <w:tcW w:type="dxa" w:w="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alibri" w:cs="Calibri" w:eastAsia="Calibri" w:hAnsi="Calibri"/>
                <w:sz w:val="18"/>
                <w:szCs w:val="18"/>
              </w:rPr>
              <w:t xml:space="preserve">Workshop de métricas con el equipo</w:t>
            </w:r>
          </w:p>
        </w:tc>
      </w:tr>
      <w:tr>
        <w:tc>
          <w:tcPr>
            <w:tcW w:type="dxa" w:w="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alibri" w:cs="Calibri" w:eastAsia="Calibri" w:hAnsi="Calibri"/>
                <w:sz w:val="18"/>
                <w:szCs w:val="18"/>
              </w:rPr>
              <w:t xml:space="preserve">Marca Seleta</w:t>
            </w:r>
          </w:p>
        </w:tc>
        <w:tc>
          <w:tcPr>
            <w:tcW w:type="dxa" w:w="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alibri" w:cs="Calibri" w:eastAsia="Calibri" w:hAnsi="Calibri"/>
                <w:sz w:val="18"/>
                <w:szCs w:val="18"/>
              </w:rPr>
              <w:t xml:space="preserve">Quiere vender en canales premium</w:t>
            </w:r>
          </w:p>
        </w:tc>
        <w:tc>
          <w:tcPr>
            <w:tcW w:type="dxa" w:w="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alibri" w:cs="Calibri" w:eastAsia="Calibri" w:hAnsi="Calibri"/>
                <w:sz w:val="18"/>
                <w:szCs w:val="18"/>
              </w:rPr>
              <w:t xml:space="preserve">Marca posicionada, pide exclusividad</w:t>
            </w:r>
          </w:p>
        </w:tc>
        <w:tc>
          <w:tcPr>
            <w:tcW w:type="dxa" w:w="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alibri" w:cs="Calibri" w:eastAsia="Calibri" w:hAnsi="Calibri"/>
                <w:sz w:val="18"/>
                <w:szCs w:val="18"/>
              </w:rPr>
              <w:t xml:space="preserve">Presentar canales elegibles</w:t>
            </w:r>
          </w:p>
        </w:tc>
      </w:tr>
      <w:tr>
        <w:tc>
          <w:tcPr>
            <w:tcW w:type="dxa" w:w="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alibri" w:cs="Calibri" w:eastAsia="Calibri" w:hAnsi="Calibri"/>
                <w:sz w:val="18"/>
                <w:szCs w:val="18"/>
              </w:rPr>
              <w:t xml:space="preserve">Nuevos Marketplaces</w:t>
            </w:r>
          </w:p>
        </w:tc>
        <w:tc>
          <w:tcPr>
            <w:tcW w:type="dxa" w:w="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alibri" w:cs="Calibri" w:eastAsia="Calibri" w:hAnsi="Calibri"/>
                <w:sz w:val="18"/>
                <w:szCs w:val="18"/>
              </w:rPr>
              <w:t xml:space="preserve">Dependencia de 1-2 canales</w:t>
            </w:r>
          </w:p>
        </w:tc>
        <w:tc>
          <w:tcPr>
            <w:tcW w:type="dxa" w:w="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alibri" w:cs="Calibri" w:eastAsia="Calibri" w:hAnsi="Calibri"/>
                <w:sz w:val="18"/>
                <w:szCs w:val="18"/>
              </w:rPr>
              <w:t xml:space="preserve">Concentración +70% en un solo MP</w:t>
            </w:r>
          </w:p>
        </w:tc>
        <w:tc>
          <w:tcPr>
            <w:tcW w:type="dxa" w:w="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alibri" w:cs="Calibri" w:eastAsia="Calibri" w:hAnsi="Calibri"/>
                <w:sz w:val="18"/>
                <w:szCs w:val="18"/>
              </w:rPr>
              <w:t xml:space="preserve">Mapa de canales sin explotar</w:t>
            </w:r>
          </w:p>
        </w:tc>
      </w:tr>
      <w:tr>
        <w:tc>
          <w:tcPr>
            <w:tcW w:type="dxa" w:w="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alibri" w:cs="Calibri" w:eastAsia="Calibri" w:hAnsi="Calibri"/>
                <w:sz w:val="18"/>
                <w:szCs w:val="18"/>
              </w:rPr>
              <w:t xml:space="preserve">Integración ERP/OMS</w:t>
            </w:r>
          </w:p>
        </w:tc>
        <w:tc>
          <w:tcPr>
            <w:tcW w:type="dxa" w:w="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alibri" w:cs="Calibri" w:eastAsia="Calibri" w:hAnsi="Calibri"/>
                <w:sz w:val="18"/>
                <w:szCs w:val="18"/>
              </w:rPr>
              <w:t xml:space="preserve">Stock y pedidos gestionados manualmente</w:t>
            </w:r>
          </w:p>
        </w:tc>
        <w:tc>
          <w:tcPr>
            <w:tcW w:type="dxa" w:w="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alibri" w:cs="Calibri" w:eastAsia="Calibri" w:hAnsi="Calibri"/>
                <w:sz w:val="18"/>
                <w:szCs w:val="18"/>
              </w:rPr>
              <w:t xml:space="preserve">Errores de stock, cancelaciones frecuentes</w:t>
            </w:r>
          </w:p>
        </w:tc>
        <w:tc>
          <w:tcPr>
            <w:tcW w:type="dxa" w:w="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alibri" w:cs="Calibri" w:eastAsia="Calibri" w:hAnsi="Calibri"/>
                <w:sz w:val="18"/>
                <w:szCs w:val="18"/>
              </w:rPr>
              <w:t xml:space="preserve">Diagnóstico de flujo operativo</w:t>
            </w:r>
          </w:p>
        </w:tc>
      </w:tr>
    </w:tbl>
    <w:p>
      <w:pPr>
        <w:spacing w:after="60" w:before="60"/>
      </w:pPr>
      <w:r>
        <w:t xml:space="preserve"/>
      </w:r>
    </w:p>
    <w:p>
      <w:pPr>
        <w:pStyle w:val="Heading2"/>
        <w:spacing w:after="120" w:before="280"/>
      </w:pPr>
      <w:r>
        <w:rPr>
          <w:rFonts w:ascii="Calibri" w:cs="Calibri" w:eastAsia="Calibri" w:hAnsi="Calibri"/>
          <w:b/>
          <w:bCs/>
          <w:color w:val="1A56A0"/>
          <w:sz w:val="28"/>
          <w:szCs w:val="28"/>
        </w:rPr>
        <w:t xml:space="preserve">2.3 Flujo operativo de Cross-Selling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A56A0" w:sz="1"/>
              <w:left w:val="single" w:color="1A56A0" w:sz="1"/>
              <w:bottom w:val="single" w:color="1A56A0" w:sz="1"/>
              <w:right w:val="single" w:color="1A56A0" w:sz="1"/>
            </w:tcBorders>
            <w:shd w:fill="1A56A0" w:val="clear"/>
            <w:tcMar>
              <w:top w:type="dxa" w:w="120"/>
              <w:left w:type="dxa" w:w="100"/>
              <w:bottom w:type="dxa" w:w="120"/>
              <w:right w:type="dxa" w:w="100"/>
            </w:tcMar>
            <w:vAlign w:val="center"/>
          </w:tcPr>
          <w:p>
            <w:pPr>
              <w:jc w:val="center"/>
            </w:pPr>
            <w:r>
              <w:rPr>
                <w:rFonts w:ascii="Calibri" w:cs="Calibri" w:eastAsia="Calibri" w:hAnsi="Calibri"/>
                <w:b/>
                <w:bCs/>
                <w:color w:val="FFFFFF"/>
                <w:sz w:val="28"/>
                <w:szCs w:val="28"/>
              </w:rPr>
              <w:t xml:space="preserve">1</w:t>
            </w:r>
          </w:p>
        </w:tc>
        <w:tc>
          <w:tcPr>
            <w:tcW w:type="dxa" w:w="8560"/>
            <w:tcBorders>
              <w:top w:val="single" w:color="1A56A0" w:sz="1"/>
              <w:left w:val="single" w:color="1A56A0" w:sz="1"/>
              <w:bottom w:val="single" w:color="1A56A0" w:sz="1"/>
              <w:right w:val="single" w:color="1A56A0" w:sz="1"/>
            </w:tcBorders>
            <w:shd w:fill="EAF4FB" w:val="clear"/>
            <w:tcMar>
              <w:top w:type="dxa" w:w="100"/>
              <w:left w:type="dxa" w:w="160"/>
              <w:bottom w:type="dxa" w:w="100"/>
              <w:right w:type="dxa" w:w="160"/>
            </w:tcMar>
          </w:tcPr>
          <w:p>
            <w:r>
              <w:rPr>
                <w:rFonts w:ascii="Calibri" w:cs="Calibri" w:eastAsia="Calibri" w:hAnsi="Calibri"/>
                <w:b/>
                <w:bCs/>
                <w:color w:val="1A1A1A"/>
                <w:sz w:val="22"/>
                <w:szCs w:val="22"/>
              </w:rPr>
              <w:t xml:space="preserve">Detectar la señal</w:t>
            </w:r>
          </w:p>
          <w:p>
            <w:pPr>
              <w:spacing w:before="40"/>
            </w:pPr>
            <w:r>
              <w:rPr>
                <w:rFonts w:ascii="Calibri" w:cs="Calibri" w:eastAsia="Calibri" w:hAnsi="Calibri"/>
                <w:color w:val="333333"/>
                <w:sz w:val="20"/>
                <w:szCs w:val="20"/>
              </w:rPr>
              <w:t xml:space="preserve">En cada reunión de seguimiento, revisar: ¿hay dolores que AnyMarket core no resuelve? ¿El cliente menciona herramientas externas para precios, finanzas, o reportes? ¿Hay tickets recurrentes que apuntan a una brecha de producto?</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A56A0" w:sz="1"/>
              <w:left w:val="single" w:color="1A56A0" w:sz="1"/>
              <w:bottom w:val="single" w:color="1A56A0" w:sz="1"/>
              <w:right w:val="single" w:color="1A56A0" w:sz="1"/>
            </w:tcBorders>
            <w:shd w:fill="1A56A0" w:val="clear"/>
            <w:tcMar>
              <w:top w:type="dxa" w:w="120"/>
              <w:left w:type="dxa" w:w="100"/>
              <w:bottom w:type="dxa" w:w="120"/>
              <w:right w:type="dxa" w:w="100"/>
            </w:tcMar>
            <w:vAlign w:val="center"/>
          </w:tcPr>
          <w:p>
            <w:pPr>
              <w:jc w:val="center"/>
            </w:pPr>
            <w:r>
              <w:rPr>
                <w:rFonts w:ascii="Calibri" w:cs="Calibri" w:eastAsia="Calibri" w:hAnsi="Calibri"/>
                <w:b/>
                <w:bCs/>
                <w:color w:val="FFFFFF"/>
                <w:sz w:val="28"/>
                <w:szCs w:val="28"/>
              </w:rPr>
              <w:t xml:space="preserve">2</w:t>
            </w:r>
          </w:p>
        </w:tc>
        <w:tc>
          <w:tcPr>
            <w:tcW w:type="dxa" w:w="8560"/>
            <w:tcBorders>
              <w:top w:val="single" w:color="1A56A0" w:sz="1"/>
              <w:left w:val="single" w:color="1A56A0" w:sz="1"/>
              <w:bottom w:val="single" w:color="1A56A0" w:sz="1"/>
              <w:right w:val="single" w:color="1A56A0" w:sz="1"/>
            </w:tcBorders>
            <w:shd w:fill="EAF4FB" w:val="clear"/>
            <w:tcMar>
              <w:top w:type="dxa" w:w="100"/>
              <w:left w:type="dxa" w:w="160"/>
              <w:bottom w:type="dxa" w:w="100"/>
              <w:right w:type="dxa" w:w="160"/>
            </w:tcMar>
          </w:tcPr>
          <w:p>
            <w:r>
              <w:rPr>
                <w:rFonts w:ascii="Calibri" w:cs="Calibri" w:eastAsia="Calibri" w:hAnsi="Calibri"/>
                <w:b/>
                <w:bCs/>
                <w:color w:val="1A1A1A"/>
                <w:sz w:val="22"/>
                <w:szCs w:val="22"/>
              </w:rPr>
              <w:t xml:space="preserve">Validar el impacto económico</w:t>
            </w:r>
          </w:p>
          <w:p>
            <w:pPr>
              <w:spacing w:before="40"/>
            </w:pPr>
            <w:r>
              <w:rPr>
                <w:rFonts w:ascii="Calibri" w:cs="Calibri" w:eastAsia="Calibri" w:hAnsi="Calibri"/>
                <w:color w:val="333333"/>
                <w:sz w:val="20"/>
                <w:szCs w:val="20"/>
              </w:rPr>
              <w:t xml:space="preserve">Cuantificar el costo del problema antes de proponer: ¿cuánto pierde por precios no actualizados? ¿Cuánto tiempo gasta en conciliación manual? La propuesta debe anclar en el valor recuperado, no en el precio del producto.</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A56A0" w:sz="1"/>
              <w:left w:val="single" w:color="1A56A0" w:sz="1"/>
              <w:bottom w:val="single" w:color="1A56A0" w:sz="1"/>
              <w:right w:val="single" w:color="1A56A0" w:sz="1"/>
            </w:tcBorders>
            <w:shd w:fill="1A56A0" w:val="clear"/>
            <w:tcMar>
              <w:top w:type="dxa" w:w="120"/>
              <w:left w:type="dxa" w:w="100"/>
              <w:bottom w:type="dxa" w:w="120"/>
              <w:right w:type="dxa" w:w="100"/>
            </w:tcMar>
            <w:vAlign w:val="center"/>
          </w:tcPr>
          <w:p>
            <w:pPr>
              <w:jc w:val="center"/>
            </w:pPr>
            <w:r>
              <w:rPr>
                <w:rFonts w:ascii="Calibri" w:cs="Calibri" w:eastAsia="Calibri" w:hAnsi="Calibri"/>
                <w:b/>
                <w:bCs/>
                <w:color w:val="FFFFFF"/>
                <w:sz w:val="28"/>
                <w:szCs w:val="28"/>
              </w:rPr>
              <w:t xml:space="preserve">3</w:t>
            </w:r>
          </w:p>
        </w:tc>
        <w:tc>
          <w:tcPr>
            <w:tcW w:type="dxa" w:w="8560"/>
            <w:tcBorders>
              <w:top w:val="single" w:color="1A56A0" w:sz="1"/>
              <w:left w:val="single" w:color="1A56A0" w:sz="1"/>
              <w:bottom w:val="single" w:color="1A56A0" w:sz="1"/>
              <w:right w:val="single" w:color="1A56A0" w:sz="1"/>
            </w:tcBorders>
            <w:shd w:fill="EAF4FB" w:val="clear"/>
            <w:tcMar>
              <w:top w:type="dxa" w:w="100"/>
              <w:left w:type="dxa" w:w="160"/>
              <w:bottom w:type="dxa" w:w="100"/>
              <w:right w:type="dxa" w:w="160"/>
            </w:tcMar>
          </w:tcPr>
          <w:p>
            <w:r>
              <w:rPr>
                <w:rFonts w:ascii="Calibri" w:cs="Calibri" w:eastAsia="Calibri" w:hAnsi="Calibri"/>
                <w:b/>
                <w:bCs/>
                <w:color w:val="1A1A1A"/>
                <w:sz w:val="22"/>
                <w:szCs w:val="22"/>
              </w:rPr>
              <w:t xml:space="preserve">Proponer con SPICED</w:t>
            </w:r>
          </w:p>
          <w:p>
            <w:pPr>
              <w:spacing w:before="40"/>
            </w:pPr>
            <w:r>
              <w:rPr>
                <w:rFonts w:ascii="Calibri" w:cs="Calibri" w:eastAsia="Calibri" w:hAnsi="Calibri"/>
                <w:color w:val="333333"/>
                <w:sz w:val="20"/>
                <w:szCs w:val="20"/>
              </w:rPr>
              <w:t xml:space="preserve">Situation: contexto del cliente. Pain: dolor documentado. Impact: costo del dolor. Critical event: urgencia. Decision: cómo se decide la compra en su empresa. No presentar el producto antes de confirmar que el dolor existe.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A56A0" w:sz="1"/>
              <w:left w:val="single" w:color="1A56A0" w:sz="1"/>
              <w:bottom w:val="single" w:color="1A56A0" w:sz="1"/>
              <w:right w:val="single" w:color="1A56A0" w:sz="1"/>
            </w:tcBorders>
            <w:shd w:fill="1A56A0" w:val="clear"/>
            <w:tcMar>
              <w:top w:type="dxa" w:w="120"/>
              <w:left w:type="dxa" w:w="100"/>
              <w:bottom w:type="dxa" w:w="120"/>
              <w:right w:type="dxa" w:w="100"/>
            </w:tcMar>
            <w:vAlign w:val="center"/>
          </w:tcPr>
          <w:p>
            <w:pPr>
              <w:jc w:val="center"/>
            </w:pPr>
            <w:r>
              <w:rPr>
                <w:rFonts w:ascii="Calibri" w:cs="Calibri" w:eastAsia="Calibri" w:hAnsi="Calibri"/>
                <w:b/>
                <w:bCs/>
                <w:color w:val="FFFFFF"/>
                <w:sz w:val="28"/>
                <w:szCs w:val="28"/>
              </w:rPr>
              <w:t xml:space="preserve">4</w:t>
            </w:r>
          </w:p>
        </w:tc>
        <w:tc>
          <w:tcPr>
            <w:tcW w:type="dxa" w:w="8560"/>
            <w:tcBorders>
              <w:top w:val="single" w:color="1A56A0" w:sz="1"/>
              <w:left w:val="single" w:color="1A56A0" w:sz="1"/>
              <w:bottom w:val="single" w:color="1A56A0" w:sz="1"/>
              <w:right w:val="single" w:color="1A56A0" w:sz="1"/>
            </w:tcBorders>
            <w:shd w:fill="EAF4FB" w:val="clear"/>
            <w:tcMar>
              <w:top w:type="dxa" w:w="100"/>
              <w:left w:type="dxa" w:w="160"/>
              <w:bottom w:type="dxa" w:w="100"/>
              <w:right w:type="dxa" w:w="160"/>
            </w:tcMar>
          </w:tcPr>
          <w:p>
            <w:r>
              <w:rPr>
                <w:rFonts w:ascii="Calibri" w:cs="Calibri" w:eastAsia="Calibri" w:hAnsi="Calibri"/>
                <w:b/>
                <w:bCs/>
                <w:color w:val="1A1A1A"/>
                <w:sz w:val="22"/>
                <w:szCs w:val="22"/>
              </w:rPr>
              <w:t xml:space="preserve">Demo o caso de éxito</w:t>
            </w:r>
          </w:p>
          <w:p>
            <w:pPr>
              <w:spacing w:before="40"/>
            </w:pPr>
            <w:r>
              <w:rPr>
                <w:rFonts w:ascii="Calibri" w:cs="Calibri" w:eastAsia="Calibri" w:hAnsi="Calibri"/>
                <w:color w:val="333333"/>
                <w:sz w:val="20"/>
                <w:szCs w:val="20"/>
              </w:rPr>
              <w:t xml:space="preserve">Mostrar resultados de un cliente similar de la cartera (sin revelar datos). Si no hay caso local, usar benchmark de industria. La demo debe durar máximo 20 minutos — mostrar el problema resuelto, no el catálogo de features.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A56A0" w:sz="1"/>
              <w:left w:val="single" w:color="1A56A0" w:sz="1"/>
              <w:bottom w:val="single" w:color="1A56A0" w:sz="1"/>
              <w:right w:val="single" w:color="1A56A0" w:sz="1"/>
            </w:tcBorders>
            <w:shd w:fill="1A56A0" w:val="clear"/>
            <w:tcMar>
              <w:top w:type="dxa" w:w="120"/>
              <w:left w:type="dxa" w:w="100"/>
              <w:bottom w:type="dxa" w:w="120"/>
              <w:right w:type="dxa" w:w="100"/>
            </w:tcMar>
            <w:vAlign w:val="center"/>
          </w:tcPr>
          <w:p>
            <w:pPr>
              <w:jc w:val="center"/>
            </w:pPr>
            <w:r>
              <w:rPr>
                <w:rFonts w:ascii="Calibri" w:cs="Calibri" w:eastAsia="Calibri" w:hAnsi="Calibri"/>
                <w:b/>
                <w:bCs/>
                <w:color w:val="FFFFFF"/>
                <w:sz w:val="28"/>
                <w:szCs w:val="28"/>
              </w:rPr>
              <w:t xml:space="preserve">5</w:t>
            </w:r>
          </w:p>
        </w:tc>
        <w:tc>
          <w:tcPr>
            <w:tcW w:type="dxa" w:w="8560"/>
            <w:tcBorders>
              <w:top w:val="single" w:color="1A56A0" w:sz="1"/>
              <w:left w:val="single" w:color="1A56A0" w:sz="1"/>
              <w:bottom w:val="single" w:color="1A56A0" w:sz="1"/>
              <w:right w:val="single" w:color="1A56A0" w:sz="1"/>
            </w:tcBorders>
            <w:shd w:fill="EAF4FB" w:val="clear"/>
            <w:tcMar>
              <w:top w:type="dxa" w:w="100"/>
              <w:left w:type="dxa" w:w="160"/>
              <w:bottom w:type="dxa" w:w="100"/>
              <w:right w:type="dxa" w:w="160"/>
            </w:tcMar>
          </w:tcPr>
          <w:p>
            <w:r>
              <w:rPr>
                <w:rFonts w:ascii="Calibri" w:cs="Calibri" w:eastAsia="Calibri" w:hAnsi="Calibri"/>
                <w:b/>
                <w:bCs/>
                <w:color w:val="1A1A1A"/>
                <w:sz w:val="22"/>
                <w:szCs w:val="22"/>
              </w:rPr>
              <w:t xml:space="preserve">Registrar y dar seguimiento</w:t>
            </w:r>
          </w:p>
          <w:p>
            <w:pPr>
              <w:spacing w:before="40"/>
            </w:pPr>
            <w:r>
              <w:rPr>
                <w:rFonts w:ascii="Calibri" w:cs="Calibri" w:eastAsia="Calibri" w:hAnsi="Calibri"/>
                <w:color w:val="333333"/>
                <w:sz w:val="20"/>
                <w:szCs w:val="20"/>
              </w:rPr>
              <w:t xml:space="preserve">Registrar la oportunidad en HubSpot como deal de expansión. Si no avanza en 2 semanas, entender el bloqueante. No dejar oportunidades abiertas sin fecha de próximo paso.</w:t>
            </w:r>
          </w:p>
        </w:tc>
      </w:tr>
    </w:tbl>
    <w:p>
      <w:pPr>
        <w:spacing w:after="60" w:before="60"/>
      </w:pPr>
      <w:r>
        <w:t xml:space="preserve"/>
      </w:r>
    </w:p>
    <w:p>
      <w:r>
        <w:br w:type="page"/>
      </w:r>
    </w:p>
    <w:p>
      <w:pPr>
        <w:pStyle w:val="Heading1"/>
        <w:spacing w:after="180" w:before="360"/>
      </w:pPr>
      <w:r>
        <w:rPr>
          <w:rFonts w:ascii="Calibri" w:cs="Calibri" w:eastAsia="Calibri" w:hAnsi="Calibri"/>
          <w:b/>
          <w:bCs/>
          <w:color w:val="1A3A6A"/>
          <w:sz w:val="36"/>
          <w:szCs w:val="36"/>
        </w:rPr>
        <w:t xml:space="preserve">3. Flujo de Up-Selling</w:t>
      </w:r>
    </w:p>
    <w:p>
      <w:pPr>
        <w:pStyle w:val="Heading2"/>
        <w:spacing w:after="120" w:before="280"/>
      </w:pPr>
      <w:r>
        <w:rPr>
          <w:rFonts w:ascii="Calibri" w:cs="Calibri" w:eastAsia="Calibri" w:hAnsi="Calibri"/>
          <w:b/>
          <w:bCs/>
          <w:color w:val="1A56A0"/>
          <w:sz w:val="28"/>
          <w:szCs w:val="28"/>
        </w:rPr>
        <w:t xml:space="preserve">3.1 Definición</w:t>
      </w:r>
    </w:p>
    <w:p>
      <w:pPr>
        <w:spacing w:after="80" w:before="60"/>
      </w:pPr>
      <w:r>
        <w:rPr>
          <w:rFonts w:ascii="Calibri" w:cs="Calibri" w:eastAsia="Calibri" w:hAnsi="Calibri"/>
          <w:sz w:val="22"/>
          <w:szCs w:val="22"/>
        </w:rPr>
        <w:t xml:space="preserve">Up-Selling es el crecimiento dentro del contrato actual. El cliente ya tiene AnyMarket, pero no está usando el 100% de lo que contrató, o su volumen de operación ya supera los límites del plan actual.</w:t>
      </w:r>
    </w:p>
    <w:p>
      <w:pPr>
        <w:spacing w:after="60" w:before="60"/>
      </w:pPr>
      <w:r>
        <w:t xml:space="preserve"/>
      </w:r>
    </w:p>
    <w:p>
      <w:pPr>
        <w:pStyle w:val="Heading2"/>
        <w:spacing w:after="120" w:before="280"/>
      </w:pPr>
      <w:r>
        <w:rPr>
          <w:rFonts w:ascii="Calibri" w:cs="Calibri" w:eastAsia="Calibri" w:hAnsi="Calibri"/>
          <w:b/>
          <w:bCs/>
          <w:color w:val="1A56A0"/>
          <w:sz w:val="28"/>
          <w:szCs w:val="28"/>
        </w:rPr>
        <w:t xml:space="preserve">3.2 Las cuatro dimensiones de Up-Selling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A6A2A"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Marketplaces</w:t>
            </w:r>
          </w:p>
        </w:tc>
        <w:tc>
          <w:tcPr>
            <w:tcW w:type="dxa" w:w="2340"/>
            <w:tcBorders>
              <w:top w:val="single" w:color="CCCCCC" w:sz="1"/>
              <w:left w:val="single" w:color="CCCCCC" w:sz="1"/>
              <w:bottom w:val="single" w:color="CCCCCC" w:sz="1"/>
              <w:right w:val="single" w:color="CCCCCC" w:sz="1"/>
            </w:tcBorders>
            <w:shd w:fill="2A6A2A"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Use Points</w:t>
            </w:r>
          </w:p>
        </w:tc>
        <w:tc>
          <w:tcPr>
            <w:tcW w:type="dxa" w:w="2340"/>
            <w:tcBorders>
              <w:top w:val="single" w:color="CCCCCC" w:sz="1"/>
              <w:left w:val="single" w:color="CCCCCC" w:sz="1"/>
              <w:bottom w:val="single" w:color="CCCCCC" w:sz="1"/>
              <w:right w:val="single" w:color="CCCCCC" w:sz="1"/>
            </w:tcBorders>
            <w:shd w:fill="2A6A2A"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SKUs / Catálogo</w:t>
            </w:r>
          </w:p>
        </w:tc>
        <w:tc>
          <w:tcPr>
            <w:tcW w:type="dxa" w:w="2340"/>
            <w:tcBorders>
              <w:top w:val="single" w:color="CCCCCC" w:sz="1"/>
              <w:left w:val="single" w:color="CCCCCC" w:sz="1"/>
              <w:bottom w:val="single" w:color="CCCCCC" w:sz="1"/>
              <w:right w:val="single" w:color="CCCCCC" w:sz="1"/>
            </w:tcBorders>
            <w:shd w:fill="2A6A2A"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Automatización</w:t>
            </w:r>
          </w:p>
        </w:tc>
      </w:tr>
      <w:tr>
        <w:tc>
          <w:tcPr>
            <w:tcW w:type="dxa" w:w="2340"/>
            <w:tcBorders>
              <w:top w:val="single" w:color="CCCCCC" w:sz="1"/>
              <w:left w:val="single" w:color="CCCCCC" w:sz="1"/>
              <w:bottom w:val="single" w:color="CCCCCC" w:sz="1"/>
              <w:right w:val="single" w:color="CCCCCC" w:sz="1"/>
            </w:tcBorders>
            <w:shd w:fill="E8F5E8" w:val="clear"/>
            <w:tcMar>
              <w:top w:type="dxa" w:w="80"/>
              <w:left w:type="dxa" w:w="100"/>
              <w:bottom w:type="dxa" w:w="80"/>
              <w:right w:type="dxa" w:w="100"/>
            </w:tcMar>
          </w:tcPr>
          <w:p>
            <w:r>
              <w:rPr>
                <w:rFonts w:ascii="Calibri" w:cs="Calibri" w:eastAsia="Calibri" w:hAnsi="Calibri"/>
                <w:sz w:val="18"/>
                <w:szCs w:val="18"/>
              </w:rPr>
              <w:t xml:space="preserve">Plan con N MPs, usa X &lt; N</w:t>
            </w:r>
          </w:p>
        </w:tc>
        <w:tc>
          <w:tcPr>
            <w:tcW w:type="dxa" w:w="2340"/>
            <w:tcBorders>
              <w:top w:val="single" w:color="CCCCCC" w:sz="1"/>
              <w:left w:val="single" w:color="CCCCCC" w:sz="1"/>
              <w:bottom w:val="single" w:color="CCCCCC" w:sz="1"/>
              <w:right w:val="single" w:color="CCCCCC" w:sz="1"/>
            </w:tcBorders>
            <w:shd w:fill="E8F5E8" w:val="clear"/>
            <w:tcMar>
              <w:top w:type="dxa" w:w="80"/>
              <w:left w:type="dxa" w:w="100"/>
              <w:bottom w:type="dxa" w:w="80"/>
              <w:right w:type="dxa" w:w="100"/>
            </w:tcMar>
          </w:tcPr>
          <w:p>
            <w:r>
              <w:rPr>
                <w:rFonts w:ascii="Calibri" w:cs="Calibri" w:eastAsia="Calibri" w:hAnsi="Calibri"/>
                <w:sz w:val="18"/>
                <w:szCs w:val="18"/>
              </w:rPr>
              <w:t xml:space="preserve">UP% &lt; 50% del plan</w:t>
            </w:r>
          </w:p>
        </w:tc>
        <w:tc>
          <w:tcPr>
            <w:tcW w:type="dxa" w:w="2340"/>
            <w:tcBorders>
              <w:top w:val="single" w:color="CCCCCC" w:sz="1"/>
              <w:left w:val="single" w:color="CCCCCC" w:sz="1"/>
              <w:bottom w:val="single" w:color="CCCCCC" w:sz="1"/>
              <w:right w:val="single" w:color="CCCCCC" w:sz="1"/>
            </w:tcBorders>
            <w:shd w:fill="E8F5E8" w:val="clear"/>
            <w:tcMar>
              <w:top w:type="dxa" w:w="80"/>
              <w:left w:type="dxa" w:w="100"/>
              <w:bottom w:type="dxa" w:w="80"/>
              <w:right w:type="dxa" w:w="100"/>
            </w:tcMar>
          </w:tcPr>
          <w:p>
            <w:r>
              <w:rPr>
                <w:rFonts w:ascii="Calibri" w:cs="Calibri" w:eastAsia="Calibri" w:hAnsi="Calibri"/>
                <w:sz w:val="18"/>
                <w:szCs w:val="18"/>
              </w:rPr>
              <w:t xml:space="preserve">Catálogo con límite cercano</w:t>
            </w:r>
          </w:p>
        </w:tc>
        <w:tc>
          <w:tcPr>
            <w:tcW w:type="dxa" w:w="2340"/>
            <w:tcBorders>
              <w:top w:val="single" w:color="CCCCCC" w:sz="1"/>
              <w:left w:val="single" w:color="CCCCCC" w:sz="1"/>
              <w:bottom w:val="single" w:color="CCCCCC" w:sz="1"/>
              <w:right w:val="single" w:color="CCCCCC" w:sz="1"/>
            </w:tcBorders>
            <w:shd w:fill="E8F5E8" w:val="clear"/>
            <w:tcMar>
              <w:top w:type="dxa" w:w="80"/>
              <w:left w:type="dxa" w:w="100"/>
              <w:bottom w:type="dxa" w:w="80"/>
              <w:right w:type="dxa" w:w="100"/>
            </w:tcMar>
          </w:tcPr>
          <w:p>
            <w:r>
              <w:rPr>
                <w:rFonts w:ascii="Calibri" w:cs="Calibri" w:eastAsia="Calibri" w:hAnsi="Calibri"/>
                <w:sz w:val="18"/>
                <w:szCs w:val="18"/>
              </w:rPr>
              <w:t xml:space="preserve">Reglas y publicaciones manuales</w:t>
            </w:r>
          </w:p>
        </w:tc>
      </w:tr>
    </w:tbl>
    <w:p>
      <w:pPr>
        <w:spacing w:after="60" w:before="60"/>
      </w:pPr>
      <w:r>
        <w:t xml:space="preserve"/>
      </w:r>
    </w:p>
    <w:p>
      <w:pPr>
        <w:pStyle w:val="Heading2"/>
        <w:spacing w:after="120" w:before="280"/>
      </w:pPr>
      <w:r>
        <w:rPr>
          <w:rFonts w:ascii="Calibri" w:cs="Calibri" w:eastAsia="Calibri" w:hAnsi="Calibri"/>
          <w:b/>
          <w:bCs/>
          <w:color w:val="1A56A0"/>
          <w:sz w:val="28"/>
          <w:szCs w:val="28"/>
        </w:rPr>
        <w:t xml:space="preserve">3.3 Flujo operativo de Up-Selling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2A6A2A" w:sz="1"/>
              <w:left w:val="single" w:color="2A6A2A" w:sz="1"/>
              <w:bottom w:val="single" w:color="2A6A2A" w:sz="1"/>
              <w:right w:val="single" w:color="2A6A2A" w:sz="1"/>
            </w:tcBorders>
            <w:shd w:fill="2A6A2A" w:val="clear"/>
            <w:tcMar>
              <w:top w:type="dxa" w:w="120"/>
              <w:left w:type="dxa" w:w="100"/>
              <w:bottom w:type="dxa" w:w="120"/>
              <w:right w:type="dxa" w:w="100"/>
            </w:tcMar>
            <w:vAlign w:val="center"/>
          </w:tcPr>
          <w:p>
            <w:pPr>
              <w:jc w:val="center"/>
            </w:pPr>
            <w:r>
              <w:rPr>
                <w:rFonts w:ascii="Calibri" w:cs="Calibri" w:eastAsia="Calibri" w:hAnsi="Calibri"/>
                <w:b/>
                <w:bCs/>
                <w:color w:val="FFFFFF"/>
                <w:sz w:val="28"/>
                <w:szCs w:val="28"/>
              </w:rPr>
              <w:t xml:space="preserve">1</w:t>
            </w:r>
          </w:p>
        </w:tc>
        <w:tc>
          <w:tcPr>
            <w:tcW w:type="dxa" w:w="8560"/>
            <w:tcBorders>
              <w:top w:val="single" w:color="2A6A2A" w:sz="1"/>
              <w:left w:val="single" w:color="2A6A2A" w:sz="1"/>
              <w:bottom w:val="single" w:color="2A6A2A" w:sz="1"/>
              <w:right w:val="single" w:color="2A6A2A" w:sz="1"/>
            </w:tcBorders>
            <w:shd w:fill="E8F5E8" w:val="clear"/>
            <w:tcMar>
              <w:top w:type="dxa" w:w="100"/>
              <w:left w:type="dxa" w:w="160"/>
              <w:bottom w:type="dxa" w:w="100"/>
              <w:right w:type="dxa" w:w="160"/>
            </w:tcMar>
          </w:tcPr>
          <w:p>
            <w:r>
              <w:rPr>
                <w:rFonts w:ascii="Calibri" w:cs="Calibri" w:eastAsia="Calibri" w:hAnsi="Calibri"/>
                <w:b/>
                <w:bCs/>
                <w:color w:val="1A1A1A"/>
                <w:sz w:val="22"/>
                <w:szCs w:val="22"/>
              </w:rPr>
              <w:t xml:space="preserve">Monitoreo semanal en AnyMarket</w:t>
            </w:r>
          </w:p>
          <w:p>
            <w:pPr>
              <w:spacing w:before="40"/>
            </w:pPr>
            <w:r>
              <w:rPr>
                <w:rFonts w:ascii="Calibri" w:cs="Calibri" w:eastAsia="Calibri" w:hAnsi="Calibri"/>
                <w:color w:val="333333"/>
                <w:sz w:val="20"/>
                <w:szCs w:val="20"/>
              </w:rPr>
              <w:t xml:space="preserve">Para cada cliente no-Centry, revisar en el dashboard: MPs activos vs. MPs del plan, UP%, y volumen de catálogo. Cualquier brecha &gt;30% entre lo contratado y lo usado activa el flujo de Up-Selling.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2A6A2A" w:sz="1"/>
              <w:left w:val="single" w:color="2A6A2A" w:sz="1"/>
              <w:bottom w:val="single" w:color="2A6A2A" w:sz="1"/>
              <w:right w:val="single" w:color="2A6A2A" w:sz="1"/>
            </w:tcBorders>
            <w:shd w:fill="2A6A2A" w:val="clear"/>
            <w:tcMar>
              <w:top w:type="dxa" w:w="120"/>
              <w:left w:type="dxa" w:w="100"/>
              <w:bottom w:type="dxa" w:w="120"/>
              <w:right w:type="dxa" w:w="100"/>
            </w:tcMar>
            <w:vAlign w:val="center"/>
          </w:tcPr>
          <w:p>
            <w:pPr>
              <w:jc w:val="center"/>
            </w:pPr>
            <w:r>
              <w:rPr>
                <w:rFonts w:ascii="Calibri" w:cs="Calibri" w:eastAsia="Calibri" w:hAnsi="Calibri"/>
                <w:b/>
                <w:bCs/>
                <w:color w:val="FFFFFF"/>
                <w:sz w:val="28"/>
                <w:szCs w:val="28"/>
              </w:rPr>
              <w:t xml:space="preserve">2</w:t>
            </w:r>
          </w:p>
        </w:tc>
        <w:tc>
          <w:tcPr>
            <w:tcW w:type="dxa" w:w="8560"/>
            <w:tcBorders>
              <w:top w:val="single" w:color="2A6A2A" w:sz="1"/>
              <w:left w:val="single" w:color="2A6A2A" w:sz="1"/>
              <w:bottom w:val="single" w:color="2A6A2A" w:sz="1"/>
              <w:right w:val="single" w:color="2A6A2A" w:sz="1"/>
            </w:tcBorders>
            <w:shd w:fill="E8F5E8" w:val="clear"/>
            <w:tcMar>
              <w:top w:type="dxa" w:w="100"/>
              <w:left w:type="dxa" w:w="160"/>
              <w:bottom w:type="dxa" w:w="100"/>
              <w:right w:type="dxa" w:w="160"/>
            </w:tcMar>
          </w:tcPr>
          <w:p>
            <w:r>
              <w:rPr>
                <w:rFonts w:ascii="Calibri" w:cs="Calibri" w:eastAsia="Calibri" w:hAnsi="Calibri"/>
                <w:b/>
                <w:bCs/>
                <w:color w:val="1A1A1A"/>
                <w:sz w:val="22"/>
                <w:szCs w:val="22"/>
              </w:rPr>
              <w:t xml:space="preserve">Diagnóstico de la brecha</w:t>
            </w:r>
          </w:p>
          <w:p>
            <w:pPr>
              <w:spacing w:before="40"/>
            </w:pPr>
            <w:r>
              <w:rPr>
                <w:rFonts w:ascii="Calibri" w:cs="Calibri" w:eastAsia="Calibri" w:hAnsi="Calibri"/>
                <w:color w:val="333333"/>
                <w:sz w:val="20"/>
                <w:szCs w:val="20"/>
              </w:rPr>
              <w:t xml:space="preserve">Antes de contactar, entender el motivo probable: ¿barrera técnica? ¿Falta de equipo? ¿Desconocimiento? ¿Decisión estratégica? Cada motivo tiene una respuesta distinta.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2A6A2A" w:sz="1"/>
              <w:left w:val="single" w:color="2A6A2A" w:sz="1"/>
              <w:bottom w:val="single" w:color="2A6A2A" w:sz="1"/>
              <w:right w:val="single" w:color="2A6A2A" w:sz="1"/>
            </w:tcBorders>
            <w:shd w:fill="2A6A2A" w:val="clear"/>
            <w:tcMar>
              <w:top w:type="dxa" w:w="120"/>
              <w:left w:type="dxa" w:w="100"/>
              <w:bottom w:type="dxa" w:w="120"/>
              <w:right w:type="dxa" w:w="100"/>
            </w:tcMar>
            <w:vAlign w:val="center"/>
          </w:tcPr>
          <w:p>
            <w:pPr>
              <w:jc w:val="center"/>
            </w:pPr>
            <w:r>
              <w:rPr>
                <w:rFonts w:ascii="Calibri" w:cs="Calibri" w:eastAsia="Calibri" w:hAnsi="Calibri"/>
                <w:b/>
                <w:bCs/>
                <w:color w:val="FFFFFF"/>
                <w:sz w:val="28"/>
                <w:szCs w:val="28"/>
              </w:rPr>
              <w:t xml:space="preserve">3</w:t>
            </w:r>
          </w:p>
        </w:tc>
        <w:tc>
          <w:tcPr>
            <w:tcW w:type="dxa" w:w="8560"/>
            <w:tcBorders>
              <w:top w:val="single" w:color="2A6A2A" w:sz="1"/>
              <w:left w:val="single" w:color="2A6A2A" w:sz="1"/>
              <w:bottom w:val="single" w:color="2A6A2A" w:sz="1"/>
              <w:right w:val="single" w:color="2A6A2A" w:sz="1"/>
            </w:tcBorders>
            <w:shd w:fill="E8F5E8" w:val="clear"/>
            <w:tcMar>
              <w:top w:type="dxa" w:w="100"/>
              <w:left w:type="dxa" w:w="160"/>
              <w:bottom w:type="dxa" w:w="100"/>
              <w:right w:type="dxa" w:w="160"/>
            </w:tcMar>
          </w:tcPr>
          <w:p>
            <w:r>
              <w:rPr>
                <w:rFonts w:ascii="Calibri" w:cs="Calibri" w:eastAsia="Calibri" w:hAnsi="Calibri"/>
                <w:b/>
                <w:bCs/>
                <w:color w:val="1A1A1A"/>
                <w:sz w:val="22"/>
                <w:szCs w:val="22"/>
              </w:rPr>
              <w:t xml:space="preserve">Contacto consultivo</w:t>
            </w:r>
          </w:p>
          <w:p>
            <w:pPr>
              <w:spacing w:before="40"/>
            </w:pPr>
            <w:r>
              <w:rPr>
                <w:rFonts w:ascii="Calibri" w:cs="Calibri" w:eastAsia="Calibri" w:hAnsi="Calibri"/>
                <w:color w:val="333333"/>
                <w:sz w:val="20"/>
                <w:szCs w:val="20"/>
              </w:rPr>
              <w:t xml:space="preserve">No abrir con 'tienes MPs sin activar'. Abrir con: 'Revisando tu operación, veo que hay espacio para crecer en [X]. ¿Puedo preguntarte qué los ha limitado?'</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2A6A2A" w:sz="1"/>
              <w:left w:val="single" w:color="2A6A2A" w:sz="1"/>
              <w:bottom w:val="single" w:color="2A6A2A" w:sz="1"/>
              <w:right w:val="single" w:color="2A6A2A" w:sz="1"/>
            </w:tcBorders>
            <w:shd w:fill="2A6A2A" w:val="clear"/>
            <w:tcMar>
              <w:top w:type="dxa" w:w="120"/>
              <w:left w:type="dxa" w:w="100"/>
              <w:bottom w:type="dxa" w:w="120"/>
              <w:right w:type="dxa" w:w="100"/>
            </w:tcMar>
            <w:vAlign w:val="center"/>
          </w:tcPr>
          <w:p>
            <w:pPr>
              <w:jc w:val="center"/>
            </w:pPr>
            <w:r>
              <w:rPr>
                <w:rFonts w:ascii="Calibri" w:cs="Calibri" w:eastAsia="Calibri" w:hAnsi="Calibri"/>
                <w:b/>
                <w:bCs/>
                <w:color w:val="FFFFFF"/>
                <w:sz w:val="28"/>
                <w:szCs w:val="28"/>
              </w:rPr>
              <w:t xml:space="preserve">4</w:t>
            </w:r>
          </w:p>
        </w:tc>
        <w:tc>
          <w:tcPr>
            <w:tcW w:type="dxa" w:w="8560"/>
            <w:tcBorders>
              <w:top w:val="single" w:color="2A6A2A" w:sz="1"/>
              <w:left w:val="single" w:color="2A6A2A" w:sz="1"/>
              <w:bottom w:val="single" w:color="2A6A2A" w:sz="1"/>
              <w:right w:val="single" w:color="2A6A2A" w:sz="1"/>
            </w:tcBorders>
            <w:shd w:fill="E8F5E8" w:val="clear"/>
            <w:tcMar>
              <w:top w:type="dxa" w:w="100"/>
              <w:left w:type="dxa" w:w="160"/>
              <w:bottom w:type="dxa" w:w="100"/>
              <w:right w:type="dxa" w:w="160"/>
            </w:tcMar>
          </w:tcPr>
          <w:p>
            <w:r>
              <w:rPr>
                <w:rFonts w:ascii="Calibri" w:cs="Calibri" w:eastAsia="Calibri" w:hAnsi="Calibri"/>
                <w:b/>
                <w:bCs/>
                <w:color w:val="1A1A1A"/>
                <w:sz w:val="22"/>
                <w:szCs w:val="22"/>
              </w:rPr>
              <w:t xml:space="preserve">Propuesta con Business Case</w:t>
            </w:r>
          </w:p>
          <w:p>
            <w:pPr>
              <w:spacing w:before="40"/>
            </w:pPr>
            <w:r>
              <w:rPr>
                <w:rFonts w:ascii="Calibri" w:cs="Calibri" w:eastAsia="Calibri" w:hAnsi="Calibri"/>
                <w:color w:val="333333"/>
                <w:sz w:val="20"/>
                <w:szCs w:val="20"/>
              </w:rPr>
              <w:t xml:space="preserve">Calcular el impacto estimado: si el cliente factura $X en MPs activos, ¿cuánto podría facturar activando el siguiente canal? Usar datos reales de clientes similares como referencia.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2A6A2A" w:sz="1"/>
              <w:left w:val="single" w:color="2A6A2A" w:sz="1"/>
              <w:bottom w:val="single" w:color="2A6A2A" w:sz="1"/>
              <w:right w:val="single" w:color="2A6A2A" w:sz="1"/>
            </w:tcBorders>
            <w:shd w:fill="2A6A2A" w:val="clear"/>
            <w:tcMar>
              <w:top w:type="dxa" w:w="120"/>
              <w:left w:type="dxa" w:w="100"/>
              <w:bottom w:type="dxa" w:w="120"/>
              <w:right w:type="dxa" w:w="100"/>
            </w:tcMar>
            <w:vAlign w:val="center"/>
          </w:tcPr>
          <w:p>
            <w:pPr>
              <w:jc w:val="center"/>
            </w:pPr>
            <w:r>
              <w:rPr>
                <w:rFonts w:ascii="Calibri" w:cs="Calibri" w:eastAsia="Calibri" w:hAnsi="Calibri"/>
                <w:b/>
                <w:bCs/>
                <w:color w:val="FFFFFF"/>
                <w:sz w:val="28"/>
                <w:szCs w:val="28"/>
              </w:rPr>
              <w:t xml:space="preserve">5</w:t>
            </w:r>
          </w:p>
        </w:tc>
        <w:tc>
          <w:tcPr>
            <w:tcW w:type="dxa" w:w="8560"/>
            <w:tcBorders>
              <w:top w:val="single" w:color="2A6A2A" w:sz="1"/>
              <w:left w:val="single" w:color="2A6A2A" w:sz="1"/>
              <w:bottom w:val="single" w:color="2A6A2A" w:sz="1"/>
              <w:right w:val="single" w:color="2A6A2A" w:sz="1"/>
            </w:tcBorders>
            <w:shd w:fill="E8F5E8" w:val="clear"/>
            <w:tcMar>
              <w:top w:type="dxa" w:w="100"/>
              <w:left w:type="dxa" w:w="160"/>
              <w:bottom w:type="dxa" w:w="100"/>
              <w:right w:type="dxa" w:w="160"/>
            </w:tcMar>
          </w:tcPr>
          <w:p>
            <w:r>
              <w:rPr>
                <w:rFonts w:ascii="Calibri" w:cs="Calibri" w:eastAsia="Calibri" w:hAnsi="Calibri"/>
                <w:b/>
                <w:bCs/>
                <w:color w:val="1A1A1A"/>
                <w:sz w:val="22"/>
                <w:szCs w:val="22"/>
              </w:rPr>
              <w:t xml:space="preserve">Gestión del resultado</w:t>
            </w:r>
          </w:p>
          <w:p>
            <w:pPr>
              <w:spacing w:before="40"/>
            </w:pPr>
            <w:r>
              <w:rPr>
                <w:rFonts w:ascii="Calibri" w:cs="Calibri" w:eastAsia="Calibri" w:hAnsi="Calibri"/>
                <w:color w:val="333333"/>
                <w:sz w:val="20"/>
                <w:szCs w:val="20"/>
              </w:rPr>
              <w:t xml:space="preserve">Si acepta: coordinar activación técnica con Soporte. Si no tiene capacidad ahora: acordar fecha. Si decide no activar: documentar motivo y respetar la decisión — registrar para revisitar en 90 días.</w:t>
            </w:r>
          </w:p>
        </w:tc>
      </w:tr>
    </w:tbl>
    <w:p>
      <w:pPr>
        <w:spacing w:after="60" w:before="60"/>
      </w:pPr>
      <w:r>
        <w:t xml:space="preserve"/>
      </w:r>
    </w:p>
    <w:p>
      <w:r>
        <w:br w:type="page"/>
      </w:r>
    </w:p>
    <w:p>
      <w:pPr>
        <w:pStyle w:val="Heading1"/>
        <w:spacing w:after="180" w:before="360"/>
      </w:pPr>
      <w:r>
        <w:rPr>
          <w:rFonts w:ascii="Calibri" w:cs="Calibri" w:eastAsia="Calibri" w:hAnsi="Calibri"/>
          <w:b/>
          <w:bCs/>
          <w:color w:val="1A3A6A"/>
          <w:sz w:val="36"/>
          <w:szCs w:val="36"/>
        </w:rPr>
        <w:t xml:space="preserve">4. Flujo de Parcerias (Canal Inbound desde Marketplace)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A2A" w:sz="1"/>
              <w:left w:val="single" w:color="1A4A2A" w:sz="1"/>
              <w:bottom w:val="single" w:color="1A4A2A" w:sz="1"/>
              <w:right w:val="single" w:color="1A4A2A" w:sz="1"/>
            </w:tcBorders>
            <w:shd w:fill="1A4A2A" w:val="clear"/>
            <w:tcMar>
              <w:top w:type="dxa" w:w="160"/>
              <w:left w:type="dxa" w:w="200"/>
              <w:bottom w:type="dxa" w:w="160"/>
              <w:right w:type="dxa" w:w="200"/>
            </w:tcMar>
          </w:tcPr>
          <w:p>
            <w:r>
              <w:rPr>
                <w:rFonts w:ascii="Calibri" w:cs="Calibri" w:eastAsia="Calibri" w:hAnsi="Calibri"/>
                <w:b/>
                <w:bCs/>
                <w:color w:val="FFFFFF"/>
                <w:sz w:val="26"/>
                <w:szCs w:val="26"/>
              </w:rPr>
              <w:t xml:space="preserve">Canal estratégico: los marketplaces identifican oportunidades que el equipo de CS convierte en revenue</w:t>
            </w:r>
          </w:p>
        </w:tc>
      </w:tr>
    </w:tbl>
    <w:p>
      <w:pPr>
        <w:spacing w:after="60" w:before="60"/>
      </w:pPr>
      <w:r>
        <w:t xml:space="preserve"/>
      </w:r>
    </w:p>
    <w:p>
      <w:pPr>
        <w:pStyle w:val="Heading2"/>
        <w:spacing w:after="120" w:before="280"/>
      </w:pPr>
      <w:r>
        <w:rPr>
          <w:rFonts w:ascii="Calibri" w:cs="Calibri" w:eastAsia="Calibri" w:hAnsi="Calibri"/>
          <w:b/>
          <w:bCs/>
          <w:color w:val="1A56A0"/>
          <w:sz w:val="28"/>
          <w:szCs w:val="28"/>
        </w:rPr>
        <w:t xml:space="preserve">4.1 Qué es el canal de Parcerias</w:t>
      </w:r>
    </w:p>
    <w:p>
      <w:pPr>
        <w:spacing w:after="80" w:before="60"/>
      </w:pPr>
      <w:r>
        <w:rPr>
          <w:rFonts w:ascii="Calibri" w:cs="Calibri" w:eastAsia="Calibri" w:hAnsi="Calibri"/>
          <w:sz w:val="22"/>
          <w:szCs w:val="22"/>
        </w:rPr>
        <w:t xml:space="preserve">Parcerias (Partnerships) es el equipo de AnyMarket que gestiona las relaciones con los marketplaces. Uno de sus roles clave es recibir listas de sellers que operan en un marketplace pero no tienen integración con AnyMarket — y pasarlas al equipo de CS para su activación.</w:t>
      </w:r>
    </w:p>
    <w:p>
      <w:pPr>
        <w:spacing w:after="80" w:before="60"/>
      </w:pPr>
      <w:r>
        <w:rPr>
          <w:rFonts w:ascii="Calibri" w:cs="Calibri" w:eastAsia="Calibri" w:hAnsi="Calibri"/>
          <w:b/>
          <w:bCs/>
          <w:sz w:val="22"/>
          <w:szCs w:val="22"/>
        </w:rPr>
        <w:t xml:space="preserve">Este canal genera dos tipos de oportunidades:</w:t>
      </w:r>
    </w:p>
    <w:p>
      <w:pPr>
        <w:pStyle w:val="ListParagraph"/>
        <w:numPr>
          <w:ilvl w:val="0"/>
          <w:numId w:val="2"/>
        </w:numPr>
        <w:spacing w:after="40" w:before="40"/>
      </w:pPr>
      <w:r>
        <w:rPr>
          <w:rFonts w:ascii="Calibri" w:cs="Calibri" w:eastAsia="Calibri" w:hAnsi="Calibri"/>
          <w:b w:val="false"/>
          <w:bCs w:val="false"/>
          <w:sz w:val="22"/>
          <w:szCs w:val="22"/>
        </w:rPr>
        <w:t xml:space="preserve">Hunting: sellers que no son clientes de AnyMarket y necesitan ser adquiridos.</w:t>
      </w:r>
    </w:p>
    <w:p>
      <w:pPr>
        <w:pStyle w:val="ListParagraph"/>
        <w:numPr>
          <w:ilvl w:val="0"/>
          <w:numId w:val="2"/>
        </w:numPr>
        <w:spacing w:after="40" w:before="40"/>
      </w:pPr>
      <w:r>
        <w:rPr>
          <w:rFonts w:ascii="Calibri" w:cs="Calibri" w:eastAsia="Calibri" w:hAnsi="Calibri"/>
          <w:b w:val="false"/>
          <w:bCs w:val="false"/>
          <w:sz w:val="22"/>
          <w:szCs w:val="22"/>
        </w:rPr>
        <w:t xml:space="preserve">Farming: clientes existentes de AnyMarket que no tienen activa la integración con ese marketplace específico.</w:t>
      </w:r>
    </w:p>
    <w:p>
      <w:pPr>
        <w:spacing w:after="60" w:before="60"/>
      </w:pPr>
      <w:r>
        <w:t xml:space="preserve"/>
      </w:r>
    </w:p>
    <w:p>
      <w:pPr>
        <w:pStyle w:val="Heading2"/>
        <w:spacing w:after="120" w:before="280"/>
      </w:pPr>
      <w:r>
        <w:rPr>
          <w:rFonts w:ascii="Calibri" w:cs="Calibri" w:eastAsia="Calibri" w:hAnsi="Calibri"/>
          <w:b/>
          <w:bCs/>
          <w:color w:val="1A56A0"/>
          <w:sz w:val="28"/>
          <w:szCs w:val="28"/>
        </w:rPr>
        <w:t xml:space="preserve">4.2 Ecosistema completo del canal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5040"/>
        <w:gridCol w:w="2640"/>
      </w:tblGrid>
      <w:tr>
        <w:tc>
          <w:tcPr>
            <w:tcW w:type="dxa" w:w="0"/>
            <w:tcBorders>
              <w:top w:val="single" w:color="CCCCCC" w:sz="1"/>
              <w:left w:val="single" w:color="CCCCCC" w:sz="1"/>
              <w:bottom w:val="single" w:color="CCCCCC" w:sz="1"/>
              <w:right w:val="single" w:color="CCCCCC" w:sz="1"/>
            </w:tcBorders>
            <w:shd w:fill="1A3A6A" w:val="clear"/>
            <w:tcMar>
              <w:top w:type="dxa" w:w="80"/>
              <w:left w:type="dxa" w:w="100"/>
              <w:bottom w:type="dxa" w:w="80"/>
              <w:right w:type="dxa" w:w="100"/>
            </w:tcMar>
          </w:tcPr>
          <w:p>
            <w:r>
              <w:rPr>
                <w:rFonts w:ascii="Calibri" w:cs="Calibri" w:eastAsia="Calibri" w:hAnsi="Calibri"/>
                <w:b/>
                <w:bCs/>
                <w:color w:val="FFFFFF"/>
                <w:sz w:val="20"/>
                <w:szCs w:val="20"/>
              </w:rPr>
              <w:t xml:space="preserve">Actor</w:t>
            </w:r>
          </w:p>
        </w:tc>
        <w:tc>
          <w:tcPr>
            <w:tcW w:type="dxa" w:w="0"/>
            <w:tcBorders>
              <w:top w:val="single" w:color="CCCCCC" w:sz="1"/>
              <w:left w:val="single" w:color="CCCCCC" w:sz="1"/>
              <w:bottom w:val="single" w:color="CCCCCC" w:sz="1"/>
              <w:right w:val="single" w:color="CCCCCC" w:sz="1"/>
            </w:tcBorders>
            <w:shd w:fill="1A3A6A" w:val="clear"/>
            <w:tcMar>
              <w:top w:type="dxa" w:w="80"/>
              <w:left w:type="dxa" w:w="100"/>
              <w:bottom w:type="dxa" w:w="80"/>
              <w:right w:type="dxa" w:w="100"/>
            </w:tcMar>
          </w:tcPr>
          <w:p>
            <w:r>
              <w:rPr>
                <w:rFonts w:ascii="Calibri" w:cs="Calibri" w:eastAsia="Calibri" w:hAnsi="Calibri"/>
                <w:b/>
                <w:bCs/>
                <w:color w:val="FFFFFF"/>
                <w:sz w:val="20"/>
                <w:szCs w:val="20"/>
              </w:rPr>
              <w:t xml:space="preserve">Rol en el flujo</w:t>
            </w:r>
          </w:p>
        </w:tc>
        <w:tc>
          <w:tcPr>
            <w:tcW w:type="dxa" w:w="0"/>
            <w:tcBorders>
              <w:top w:val="single" w:color="CCCCCC" w:sz="1"/>
              <w:left w:val="single" w:color="CCCCCC" w:sz="1"/>
              <w:bottom w:val="single" w:color="CCCCCC" w:sz="1"/>
              <w:right w:val="single" w:color="CCCCCC" w:sz="1"/>
            </w:tcBorders>
            <w:shd w:fill="1A3A6A" w:val="clear"/>
            <w:tcMar>
              <w:top w:type="dxa" w:w="80"/>
              <w:left w:type="dxa" w:w="100"/>
              <w:bottom w:type="dxa" w:w="80"/>
              <w:right w:type="dxa" w:w="100"/>
            </w:tcMar>
          </w:tcPr>
          <w:p>
            <w:r>
              <w:rPr>
                <w:rFonts w:ascii="Calibri" w:cs="Calibri" w:eastAsia="Calibri" w:hAnsi="Calibri"/>
                <w:b/>
                <w:bCs/>
                <w:color w:val="FFFFFF"/>
                <w:sz w:val="20"/>
                <w:szCs w:val="20"/>
              </w:rPr>
              <w:t xml:space="preserve">Output</w:t>
            </w:r>
          </w:p>
        </w:tc>
      </w:tr>
      <w:tr>
        <w:tc>
          <w:tcPr>
            <w:tcW w:type="dxa" w:w="1680"/>
            <w:tcBorders>
              <w:top w:val="single" w:color="CCCCCC" w:sz="1"/>
              <w:left w:val="single" w:color="CCCCCC" w:sz="1"/>
              <w:bottom w:val="single" w:color="CCCCCC" w:sz="1"/>
              <w:right w:val="single" w:color="CCCCCC" w:sz="1"/>
            </w:tcBorders>
            <w:shd w:fill="F0F7FF" w:val="clear"/>
            <w:tcMar>
              <w:top w:type="dxa" w:w="80"/>
              <w:left w:type="dxa" w:w="100"/>
              <w:bottom w:type="dxa" w:w="80"/>
              <w:right w:type="dxa" w:w="100"/>
            </w:tcMar>
          </w:tcPr>
          <w:p>
            <w:r>
              <w:rPr>
                <w:rFonts w:ascii="Calibri" w:cs="Calibri" w:eastAsia="Calibri" w:hAnsi="Calibri"/>
                <w:b/>
                <w:bCs/>
                <w:color w:val="1A3A6A"/>
                <w:sz w:val="18"/>
                <w:szCs w:val="18"/>
              </w:rPr>
              <w:t xml:space="preserve">Marketplace
(ML, Falabella...)</w:t>
            </w:r>
          </w:p>
        </w:tc>
        <w:tc>
          <w:tcPr>
            <w:tcW w:type="dxa" w:w="5040"/>
            <w:tcBorders>
              <w:top w:val="single" w:color="CCCCCC" w:sz="1"/>
              <w:left w:val="single" w:color="CCCCCC" w:sz="1"/>
              <w:bottom w:val="single" w:color="CCCCCC" w:sz="1"/>
              <w:right w:val="single" w:color="CCCCCC" w:sz="1"/>
            </w:tcBorders>
            <w:shd w:fill="FAFAFA" w:val="clear"/>
            <w:tcMar>
              <w:top w:type="dxa" w:w="80"/>
              <w:left w:type="dxa" w:w="100"/>
              <w:bottom w:type="dxa" w:w="80"/>
              <w:right w:type="dxa" w:w="100"/>
            </w:tcMar>
          </w:tcPr>
          <w:p>
            <w:r>
              <w:rPr>
                <w:rFonts w:ascii="Calibri" w:cs="Calibri" w:eastAsia="Calibri" w:hAnsi="Calibri"/>
                <w:sz w:val="18"/>
                <w:szCs w:val="18"/>
              </w:rPr>
              <w:t xml:space="preserve">Identifica sellers activos que no tienen integración AnyMarket. No califica ni contacta — solo provee la data de sellers sin integración.</w:t>
            </w:r>
          </w:p>
        </w:tc>
        <w:tc>
          <w:tcPr>
            <w:tcW w:type="dxa" w:w="2640"/>
            <w:tcBorders>
              <w:top w:val="single" w:color="CCCCCC" w:sz="1"/>
              <w:left w:val="single" w:color="CCCCCC" w:sz="1"/>
              <w:bottom w:val="single" w:color="CCCCCC" w:sz="1"/>
              <w:right w:val="single" w:color="CCCCCC" w:sz="1"/>
            </w:tcBorders>
            <w:shd w:fill="E8F5E8" w:val="clear"/>
            <w:tcMar>
              <w:top w:type="dxa" w:w="80"/>
              <w:left w:type="dxa" w:w="100"/>
              <w:bottom w:type="dxa" w:w="80"/>
              <w:right w:type="dxa" w:w="100"/>
            </w:tcMar>
          </w:tcPr>
          <w:p>
            <w:r>
              <w:rPr>
                <w:rFonts w:ascii="Calibri" w:cs="Calibri" w:eastAsia="Calibri" w:hAnsi="Calibri"/>
                <w:b/>
                <w:bCs/>
                <w:color w:val="2A6A2A"/>
                <w:sz w:val="18"/>
                <w:szCs w:val="18"/>
              </w:rPr>
              <w:t xml:space="preserve">Lista de sellers candidatos</w:t>
            </w:r>
          </w:p>
        </w:tc>
      </w:tr>
      <w:tr>
        <w:tc>
          <w:tcPr>
            <w:tcW w:type="dxa" w:w="1680"/>
            <w:tcBorders>
              <w:top w:val="single" w:color="CCCCCC" w:sz="1"/>
              <w:left w:val="single" w:color="CCCCCC" w:sz="1"/>
              <w:bottom w:val="single" w:color="CCCCCC" w:sz="1"/>
              <w:right w:val="single" w:color="CCCCCC" w:sz="1"/>
            </w:tcBorders>
            <w:shd w:fill="F0F7FF" w:val="clear"/>
            <w:tcMar>
              <w:top w:type="dxa" w:w="80"/>
              <w:left w:type="dxa" w:w="100"/>
              <w:bottom w:type="dxa" w:w="80"/>
              <w:right w:type="dxa" w:w="100"/>
            </w:tcMar>
          </w:tcPr>
          <w:p>
            <w:r>
              <w:rPr>
                <w:rFonts w:ascii="Calibri" w:cs="Calibri" w:eastAsia="Calibri" w:hAnsi="Calibri"/>
                <w:b/>
                <w:bCs/>
                <w:color w:val="1A3A6A"/>
                <w:sz w:val="18"/>
                <w:szCs w:val="18"/>
              </w:rPr>
              <w:t xml:space="preserve">Parcerias
(AnyMarket)</w:t>
            </w:r>
          </w:p>
        </w:tc>
        <w:tc>
          <w:tcPr>
            <w:tcW w:type="dxa" w:w="5040"/>
            <w:tcBorders>
              <w:top w:val="single" w:color="CCCCCC" w:sz="1"/>
              <w:left w:val="single" w:color="CCCCCC" w:sz="1"/>
              <w:bottom w:val="single" w:color="CCCCCC" w:sz="1"/>
              <w:right w:val="single" w:color="CCCCCC" w:sz="1"/>
            </w:tcBorders>
            <w:shd w:fill="FAFAFA" w:val="clear"/>
            <w:tcMar>
              <w:top w:type="dxa" w:w="80"/>
              <w:left w:type="dxa" w:w="100"/>
              <w:bottom w:type="dxa" w:w="80"/>
              <w:right w:type="dxa" w:w="100"/>
            </w:tcMar>
          </w:tcPr>
          <w:p>
            <w:r>
              <w:rPr>
                <w:rFonts w:ascii="Calibri" w:cs="Calibri" w:eastAsia="Calibri" w:hAnsi="Calibri"/>
                <w:sz w:val="18"/>
                <w:szCs w:val="18"/>
              </w:rPr>
              <w:t xml:space="preserve">Recibe la lista. Determina si el seller es cliente existente (→ Farming) o nuevo (→ Hunting). Prioriza según volumen estimado y categoría.</w:t>
            </w:r>
          </w:p>
        </w:tc>
        <w:tc>
          <w:tcPr>
            <w:tcW w:type="dxa" w:w="2640"/>
            <w:tcBorders>
              <w:top w:val="single" w:color="CCCCCC" w:sz="1"/>
              <w:left w:val="single" w:color="CCCCCC" w:sz="1"/>
              <w:bottom w:val="single" w:color="CCCCCC" w:sz="1"/>
              <w:right w:val="single" w:color="CCCCCC" w:sz="1"/>
            </w:tcBorders>
            <w:shd w:fill="E8F5E8" w:val="clear"/>
            <w:tcMar>
              <w:top w:type="dxa" w:w="80"/>
              <w:left w:type="dxa" w:w="100"/>
              <w:bottom w:type="dxa" w:w="80"/>
              <w:right w:type="dxa" w:w="100"/>
            </w:tcMar>
          </w:tcPr>
          <w:p>
            <w:r>
              <w:rPr>
                <w:rFonts w:ascii="Calibri" w:cs="Calibri" w:eastAsia="Calibri" w:hAnsi="Calibri"/>
                <w:b/>
                <w:bCs/>
                <w:color w:val="2A6A2A"/>
                <w:sz w:val="18"/>
                <w:szCs w:val="18"/>
              </w:rPr>
              <w:t xml:space="preserve">Lead enrutado a Hunting o Farming</w:t>
            </w:r>
          </w:p>
        </w:tc>
      </w:tr>
      <w:tr>
        <w:tc>
          <w:tcPr>
            <w:tcW w:type="dxa" w:w="1680"/>
            <w:tcBorders>
              <w:top w:val="single" w:color="CCCCCC" w:sz="1"/>
              <w:left w:val="single" w:color="CCCCCC" w:sz="1"/>
              <w:bottom w:val="single" w:color="CCCCCC" w:sz="1"/>
              <w:right w:val="single" w:color="CCCCCC" w:sz="1"/>
            </w:tcBorders>
            <w:shd w:fill="F0F7FF" w:val="clear"/>
            <w:tcMar>
              <w:top w:type="dxa" w:w="80"/>
              <w:left w:type="dxa" w:w="100"/>
              <w:bottom w:type="dxa" w:w="80"/>
              <w:right w:type="dxa" w:w="100"/>
            </w:tcMar>
          </w:tcPr>
          <w:p>
            <w:r>
              <w:rPr>
                <w:rFonts w:ascii="Calibri" w:cs="Calibri" w:eastAsia="Calibri" w:hAnsi="Calibri"/>
                <w:b/>
                <w:bCs/>
                <w:color w:val="1A3A6A"/>
                <w:sz w:val="18"/>
                <w:szCs w:val="18"/>
              </w:rPr>
              <w:t xml:space="preserve">Hunting
(Comercial)</w:t>
            </w:r>
          </w:p>
        </w:tc>
        <w:tc>
          <w:tcPr>
            <w:tcW w:type="dxa" w:w="5040"/>
            <w:tcBorders>
              <w:top w:val="single" w:color="CCCCCC" w:sz="1"/>
              <w:left w:val="single" w:color="CCCCCC" w:sz="1"/>
              <w:bottom w:val="single" w:color="CCCCCC" w:sz="1"/>
              <w:right w:val="single" w:color="CCCCCC" w:sz="1"/>
            </w:tcBorders>
            <w:shd w:fill="FAFAFA" w:val="clear"/>
            <w:tcMar>
              <w:top w:type="dxa" w:w="80"/>
              <w:left w:type="dxa" w:w="100"/>
              <w:bottom w:type="dxa" w:w="80"/>
              <w:right w:type="dxa" w:w="100"/>
            </w:tcMar>
          </w:tcPr>
          <w:p>
            <w:r>
              <w:rPr>
                <w:rFonts w:ascii="Calibri" w:cs="Calibri" w:eastAsia="Calibri" w:hAnsi="Calibri"/>
                <w:sz w:val="18"/>
                <w:szCs w:val="18"/>
              </w:rPr>
              <w:t xml:space="preserve">Contacta sellers nuevos. Ofrece la integración. Califica si aplica. Cierra el contrato inicial.</w:t>
            </w:r>
          </w:p>
        </w:tc>
        <w:tc>
          <w:tcPr>
            <w:tcW w:type="dxa" w:w="2640"/>
            <w:tcBorders>
              <w:top w:val="single" w:color="CCCCCC" w:sz="1"/>
              <w:left w:val="single" w:color="CCCCCC" w:sz="1"/>
              <w:bottom w:val="single" w:color="CCCCCC" w:sz="1"/>
              <w:right w:val="single" w:color="CCCCCC" w:sz="1"/>
            </w:tcBorders>
            <w:shd w:fill="E8F5E8" w:val="clear"/>
            <w:tcMar>
              <w:top w:type="dxa" w:w="80"/>
              <w:left w:type="dxa" w:w="100"/>
              <w:bottom w:type="dxa" w:w="80"/>
              <w:right w:type="dxa" w:w="100"/>
            </w:tcMar>
          </w:tcPr>
          <w:p>
            <w:r>
              <w:rPr>
                <w:rFonts w:ascii="Calibri" w:cs="Calibri" w:eastAsia="Calibri" w:hAnsi="Calibri"/>
                <w:b/>
                <w:bCs/>
                <w:color w:val="2A6A2A"/>
                <w:sz w:val="18"/>
                <w:szCs w:val="18"/>
              </w:rPr>
              <w:t xml:space="preserve">Nuevo cliente integrado</w:t>
            </w:r>
          </w:p>
        </w:tc>
      </w:tr>
      <w:tr>
        <w:tc>
          <w:tcPr>
            <w:tcW w:type="dxa" w:w="1680"/>
            <w:tcBorders>
              <w:top w:val="single" w:color="CCCCCC" w:sz="1"/>
              <w:left w:val="single" w:color="CCCCCC" w:sz="1"/>
              <w:bottom w:val="single" w:color="CCCCCC" w:sz="1"/>
              <w:right w:val="single" w:color="CCCCCC" w:sz="1"/>
            </w:tcBorders>
            <w:shd w:fill="F0F7FF" w:val="clear"/>
            <w:tcMar>
              <w:top w:type="dxa" w:w="80"/>
              <w:left w:type="dxa" w:w="100"/>
              <w:bottom w:type="dxa" w:w="80"/>
              <w:right w:type="dxa" w:w="100"/>
            </w:tcMar>
          </w:tcPr>
          <w:p>
            <w:r>
              <w:rPr>
                <w:rFonts w:ascii="Calibri" w:cs="Calibri" w:eastAsia="Calibri" w:hAnsi="Calibri"/>
                <w:b/>
                <w:bCs/>
                <w:color w:val="1A3A6A"/>
                <w:sz w:val="18"/>
                <w:szCs w:val="18"/>
              </w:rPr>
              <w:t xml:space="preserve">CS / Farming</w:t>
            </w:r>
          </w:p>
        </w:tc>
        <w:tc>
          <w:tcPr>
            <w:tcW w:type="dxa" w:w="5040"/>
            <w:tcBorders>
              <w:top w:val="single" w:color="CCCCCC" w:sz="1"/>
              <w:left w:val="single" w:color="CCCCCC" w:sz="1"/>
              <w:bottom w:val="single" w:color="CCCCCC" w:sz="1"/>
              <w:right w:val="single" w:color="CCCCCC" w:sz="1"/>
            </w:tcBorders>
            <w:shd w:fill="FAFAFA" w:val="clear"/>
            <w:tcMar>
              <w:top w:type="dxa" w:w="80"/>
              <w:left w:type="dxa" w:w="100"/>
              <w:bottom w:type="dxa" w:w="80"/>
              <w:right w:type="dxa" w:w="100"/>
            </w:tcMar>
          </w:tcPr>
          <w:p>
            <w:r>
              <w:rPr>
                <w:rFonts w:ascii="Calibri" w:cs="Calibri" w:eastAsia="Calibri" w:hAnsi="Calibri"/>
                <w:sz w:val="18"/>
                <w:szCs w:val="18"/>
              </w:rPr>
              <w:t xml:space="preserve">Contacta clientes existentes con brechas. Activa marketplaces sin usar. Documenta rechazos. Reporta a Parcerias.</w:t>
            </w:r>
          </w:p>
        </w:tc>
        <w:tc>
          <w:tcPr>
            <w:tcW w:type="dxa" w:w="2640"/>
            <w:tcBorders>
              <w:top w:val="single" w:color="CCCCCC" w:sz="1"/>
              <w:left w:val="single" w:color="CCCCCC" w:sz="1"/>
              <w:bottom w:val="single" w:color="CCCCCC" w:sz="1"/>
              <w:right w:val="single" w:color="CCCCCC" w:sz="1"/>
            </w:tcBorders>
            <w:shd w:fill="E8F5E8" w:val="clear"/>
            <w:tcMar>
              <w:top w:type="dxa" w:w="80"/>
              <w:left w:type="dxa" w:w="100"/>
              <w:bottom w:type="dxa" w:w="80"/>
              <w:right w:type="dxa" w:w="100"/>
            </w:tcMar>
          </w:tcPr>
          <w:p>
            <w:r>
              <w:rPr>
                <w:rFonts w:ascii="Calibri" w:cs="Calibri" w:eastAsia="Calibri" w:hAnsi="Calibri"/>
                <w:b/>
                <w:bCs/>
                <w:color w:val="2A6A2A"/>
                <w:sz w:val="18"/>
                <w:szCs w:val="18"/>
              </w:rPr>
              <w:t xml:space="preserve">Cliente con mayor adopción y GMV</w:t>
            </w:r>
          </w:p>
        </w:tc>
      </w:tr>
    </w:tbl>
    <w:p>
      <w:pPr>
        <w:spacing w:after="60" w:before="60"/>
      </w:pPr>
      <w:r>
        <w:t xml:space="preserve"/>
      </w:r>
    </w:p>
    <w:p>
      <w:pPr>
        <w:pStyle w:val="Heading2"/>
        <w:spacing w:after="120" w:before="280"/>
      </w:pPr>
      <w:r>
        <w:rPr>
          <w:rFonts w:ascii="Calibri" w:cs="Calibri" w:eastAsia="Calibri" w:hAnsi="Calibri"/>
          <w:b/>
          <w:bCs/>
          <w:color w:val="1A56A0"/>
          <w:sz w:val="28"/>
          <w:szCs w:val="28"/>
        </w:rPr>
        <w:t xml:space="preserve">4.3 Flujo Hunting — Seller sin integración AnyMarket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8A4000" w:sz="1"/>
              <w:left w:val="single" w:color="8A4000" w:sz="1"/>
              <w:bottom w:val="single" w:color="8A4000" w:sz="1"/>
              <w:right w:val="single" w:color="8A4000" w:sz="1"/>
            </w:tcBorders>
            <w:shd w:fill="8A4000" w:val="clear"/>
            <w:tcMar>
              <w:top w:type="dxa" w:w="120"/>
              <w:left w:type="dxa" w:w="100"/>
              <w:bottom w:type="dxa" w:w="120"/>
              <w:right w:type="dxa" w:w="100"/>
            </w:tcMar>
            <w:vAlign w:val="center"/>
          </w:tcPr>
          <w:p>
            <w:pPr>
              <w:jc w:val="center"/>
            </w:pPr>
            <w:r>
              <w:rPr>
                <w:rFonts w:ascii="Calibri" w:cs="Calibri" w:eastAsia="Calibri" w:hAnsi="Calibri"/>
                <w:b/>
                <w:bCs/>
                <w:color w:val="FFFFFF"/>
                <w:sz w:val="28"/>
                <w:szCs w:val="28"/>
              </w:rPr>
              <w:t xml:space="preserve">1</w:t>
            </w:r>
          </w:p>
        </w:tc>
        <w:tc>
          <w:tcPr>
            <w:tcW w:type="dxa" w:w="8560"/>
            <w:tcBorders>
              <w:top w:val="single" w:color="8A4000" w:sz="1"/>
              <w:left w:val="single" w:color="8A4000" w:sz="1"/>
              <w:bottom w:val="single" w:color="8A4000" w:sz="1"/>
              <w:right w:val="single" w:color="8A4000" w:sz="1"/>
            </w:tcBorders>
            <w:shd w:fill="FFF3E0" w:val="clear"/>
            <w:tcMar>
              <w:top w:type="dxa" w:w="100"/>
              <w:left w:type="dxa" w:w="160"/>
              <w:bottom w:type="dxa" w:w="100"/>
              <w:right w:type="dxa" w:w="160"/>
            </w:tcMar>
          </w:tcPr>
          <w:p>
            <w:r>
              <w:rPr>
                <w:rFonts w:ascii="Calibri" w:cs="Calibri" w:eastAsia="Calibri" w:hAnsi="Calibri"/>
                <w:b/>
                <w:bCs/>
                <w:color w:val="1A1A1A"/>
                <w:sz w:val="22"/>
                <w:szCs w:val="22"/>
              </w:rPr>
              <w:t xml:space="preserve">Recibir y preparar el lead</w:t>
            </w:r>
          </w:p>
          <w:p>
            <w:pPr>
              <w:spacing w:before="40"/>
            </w:pPr>
            <w:r>
              <w:rPr>
                <w:rFonts w:ascii="Calibri" w:cs="Calibri" w:eastAsia="Calibri" w:hAnsi="Calibri"/>
                <w:color w:val="333333"/>
                <w:sz w:val="20"/>
                <w:szCs w:val="20"/>
              </w:rPr>
              <w:t xml:space="preserve">Parcerias entrega la lista de sellers. Antes de contactar: verificar en AnyMarket si el seller ya existe como cliente (si sí → deriva a Farming). Investigar en el marketplace: volumen de ventas, categoría, cantidad de SKUs. Determinar qué plan correspondería.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8A4000" w:sz="1"/>
              <w:left w:val="single" w:color="8A4000" w:sz="1"/>
              <w:bottom w:val="single" w:color="8A4000" w:sz="1"/>
              <w:right w:val="single" w:color="8A4000" w:sz="1"/>
            </w:tcBorders>
            <w:shd w:fill="8A4000" w:val="clear"/>
            <w:tcMar>
              <w:top w:type="dxa" w:w="120"/>
              <w:left w:type="dxa" w:w="100"/>
              <w:bottom w:type="dxa" w:w="120"/>
              <w:right w:type="dxa" w:w="100"/>
            </w:tcMar>
            <w:vAlign w:val="center"/>
          </w:tcPr>
          <w:p>
            <w:pPr>
              <w:jc w:val="center"/>
            </w:pPr>
            <w:r>
              <w:rPr>
                <w:rFonts w:ascii="Calibri" w:cs="Calibri" w:eastAsia="Calibri" w:hAnsi="Calibri"/>
                <w:b/>
                <w:bCs/>
                <w:color w:val="FFFFFF"/>
                <w:sz w:val="28"/>
                <w:szCs w:val="28"/>
              </w:rPr>
              <w:t xml:space="preserve">2</w:t>
            </w:r>
          </w:p>
        </w:tc>
        <w:tc>
          <w:tcPr>
            <w:tcW w:type="dxa" w:w="8560"/>
            <w:tcBorders>
              <w:top w:val="single" w:color="8A4000" w:sz="1"/>
              <w:left w:val="single" w:color="8A4000" w:sz="1"/>
              <w:bottom w:val="single" w:color="8A4000" w:sz="1"/>
              <w:right w:val="single" w:color="8A4000" w:sz="1"/>
            </w:tcBorders>
            <w:shd w:fill="FFF3E0" w:val="clear"/>
            <w:tcMar>
              <w:top w:type="dxa" w:w="100"/>
              <w:left w:type="dxa" w:w="160"/>
              <w:bottom w:type="dxa" w:w="100"/>
              <w:right w:type="dxa" w:w="160"/>
            </w:tcMar>
          </w:tcPr>
          <w:p>
            <w:r>
              <w:rPr>
                <w:rFonts w:ascii="Calibri" w:cs="Calibri" w:eastAsia="Calibri" w:hAnsi="Calibri"/>
                <w:b/>
                <w:bCs/>
                <w:color w:val="1A1A1A"/>
                <w:sz w:val="22"/>
                <w:szCs w:val="22"/>
              </w:rPr>
              <w:t xml:space="preserve">Primer contacto — apertura no invasiva</w:t>
            </w:r>
          </w:p>
          <w:p>
            <w:pPr>
              <w:spacing w:before="40"/>
            </w:pPr>
            <w:r>
              <w:rPr>
                <w:rFonts w:ascii="Calibri" w:cs="Calibri" w:eastAsia="Calibri" w:hAnsi="Calibri"/>
                <w:color w:val="333333"/>
                <w:sz w:val="20"/>
                <w:szCs w:val="20"/>
              </w:rPr>
              <w:t xml:space="preserve">Objetivo: abrir conversación, no vender. Canal: WhatsApp o email según el perfil del seller.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4000" w:sz="1"/>
              <w:left w:val="thick" w:color="8A4000" w:sz="16"/>
              <w:bottom w:val="single" w:color="8A4000" w:sz="1"/>
              <w:right w:val="single" w:color="8A4000" w:sz="1"/>
            </w:tcBorders>
            <w:shd w:fill="F0F7FF" w:val="clear"/>
            <w:tcMar>
              <w:top w:type="dxa" w:w="100"/>
              <w:left w:type="dxa" w:w="180"/>
              <w:bottom w:type="dxa" w:w="100"/>
              <w:right w:type="dxa" w:w="180"/>
            </w:tcMar>
          </w:tcPr>
          <w:p>
            <w:r>
              <w:rPr>
                <w:rFonts w:ascii="Calibri" w:cs="Calibri" w:eastAsia="Calibri" w:hAnsi="Calibri"/>
                <w:i/>
                <w:iCs/>
                <w:color w:val="2A4A7A"/>
                <w:sz w:val="21"/>
                <w:szCs w:val="21"/>
              </w:rPr>
              <w:t xml:space="preserve">"Hola [Nombre], soy [CSM] de AnyMarket. Vi que tienes operación en [Marketplace X] y quería conectarme — tenemos una integración que empresas similares a la tuya usan para gestionar varios marketplaces desde un solo lugar. ¿Tienes 15 minutos esta semana para que te cuente cómo funciona?"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8A4000" w:sz="1"/>
              <w:left w:val="single" w:color="8A4000" w:sz="1"/>
              <w:bottom w:val="single" w:color="8A4000" w:sz="1"/>
              <w:right w:val="single" w:color="8A4000" w:sz="1"/>
            </w:tcBorders>
            <w:shd w:fill="8A4000" w:val="clear"/>
            <w:tcMar>
              <w:top w:type="dxa" w:w="120"/>
              <w:left w:type="dxa" w:w="100"/>
              <w:bottom w:type="dxa" w:w="120"/>
              <w:right w:type="dxa" w:w="100"/>
            </w:tcMar>
            <w:vAlign w:val="center"/>
          </w:tcPr>
          <w:p>
            <w:pPr>
              <w:jc w:val="center"/>
            </w:pPr>
            <w:r>
              <w:rPr>
                <w:rFonts w:ascii="Calibri" w:cs="Calibri" w:eastAsia="Calibri" w:hAnsi="Calibri"/>
                <w:b/>
                <w:bCs/>
                <w:color w:val="FFFFFF"/>
                <w:sz w:val="28"/>
                <w:szCs w:val="28"/>
              </w:rPr>
              <w:t xml:space="preserve">3</w:t>
            </w:r>
          </w:p>
        </w:tc>
        <w:tc>
          <w:tcPr>
            <w:tcW w:type="dxa" w:w="8560"/>
            <w:tcBorders>
              <w:top w:val="single" w:color="8A4000" w:sz="1"/>
              <w:left w:val="single" w:color="8A4000" w:sz="1"/>
              <w:bottom w:val="single" w:color="8A4000" w:sz="1"/>
              <w:right w:val="single" w:color="8A4000" w:sz="1"/>
            </w:tcBorders>
            <w:shd w:fill="FFF3E0" w:val="clear"/>
            <w:tcMar>
              <w:top w:type="dxa" w:w="100"/>
              <w:left w:type="dxa" w:w="160"/>
              <w:bottom w:type="dxa" w:w="100"/>
              <w:right w:type="dxa" w:w="160"/>
            </w:tcMar>
          </w:tcPr>
          <w:p>
            <w:r>
              <w:rPr>
                <w:rFonts w:ascii="Calibri" w:cs="Calibri" w:eastAsia="Calibri" w:hAnsi="Calibri"/>
                <w:b/>
                <w:bCs/>
                <w:color w:val="1A1A1A"/>
                <w:sz w:val="22"/>
                <w:szCs w:val="22"/>
              </w:rPr>
              <w:t xml:space="preserve">Reunión de calificación (si acepta el contacto)</w:t>
            </w:r>
          </w:p>
          <w:p>
            <w:pPr>
              <w:spacing w:before="40"/>
            </w:pPr>
            <w:r>
              <w:rPr>
                <w:rFonts w:ascii="Calibri" w:cs="Calibri" w:eastAsia="Calibri" w:hAnsi="Calibri"/>
                <w:color w:val="333333"/>
                <w:sz w:val="20"/>
                <w:szCs w:val="20"/>
              </w:rPr>
              <w:t xml:space="preserve">Evaluar cuatro dimensiones clave: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8A4000"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¿eCommerce es su core?</w:t>
            </w:r>
          </w:p>
        </w:tc>
        <w:tc>
          <w:tcPr>
            <w:tcW w:type="dxa" w:w="2340"/>
            <w:tcBorders>
              <w:top w:val="single" w:color="CCCCCC" w:sz="1"/>
              <w:left w:val="single" w:color="CCCCCC" w:sz="1"/>
              <w:bottom w:val="single" w:color="CCCCCC" w:sz="1"/>
              <w:right w:val="single" w:color="CCCCCC" w:sz="1"/>
            </w:tcBorders>
            <w:shd w:fill="8A4000"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¿Cuántos MPs opera?</w:t>
            </w:r>
          </w:p>
        </w:tc>
        <w:tc>
          <w:tcPr>
            <w:tcW w:type="dxa" w:w="2340"/>
            <w:tcBorders>
              <w:top w:val="single" w:color="CCCCCC" w:sz="1"/>
              <w:left w:val="single" w:color="CCCCCC" w:sz="1"/>
              <w:bottom w:val="single" w:color="CCCCCC" w:sz="1"/>
              <w:right w:val="single" w:color="CCCCCC" w:sz="1"/>
            </w:tcBorders>
            <w:shd w:fill="8A4000"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¿Tiene ERP/OMS?</w:t>
            </w:r>
          </w:p>
        </w:tc>
        <w:tc>
          <w:tcPr>
            <w:tcW w:type="dxa" w:w="2340"/>
            <w:tcBorders>
              <w:top w:val="single" w:color="CCCCCC" w:sz="1"/>
              <w:left w:val="single" w:color="CCCCCC" w:sz="1"/>
              <w:bottom w:val="single" w:color="CCCCCC" w:sz="1"/>
              <w:right w:val="single" w:color="CCCCCC" w:sz="1"/>
            </w:tcBorders>
            <w:shd w:fill="8A4000"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¿Por qué no tiene integración?</w:t>
            </w:r>
          </w:p>
        </w:tc>
      </w:tr>
      <w:tr>
        <w:tc>
          <w:tcPr>
            <w:tcW w:type="dxa" w:w="2340"/>
            <w:tcBorders>
              <w:top w:val="single" w:color="CCCCCC" w:sz="1"/>
              <w:left w:val="single" w:color="CCCCCC" w:sz="1"/>
              <w:bottom w:val="single" w:color="CCCCCC" w:sz="1"/>
              <w:right w:val="single" w:color="CCCCCC" w:sz="1"/>
            </w:tcBorders>
            <w:shd w:fill="FFF3E0" w:val="clear"/>
            <w:tcMar>
              <w:top w:type="dxa" w:w="80"/>
              <w:left w:type="dxa" w:w="100"/>
              <w:bottom w:type="dxa" w:w="80"/>
              <w:right w:type="dxa" w:w="100"/>
            </w:tcMar>
          </w:tcPr>
          <w:p>
            <w:r>
              <w:rPr>
                <w:rFonts w:ascii="Calibri" w:cs="Calibri" w:eastAsia="Calibri" w:hAnsi="Calibri"/>
                <w:sz w:val="18"/>
                <w:szCs w:val="18"/>
              </w:rPr>
              <w:t xml:space="preserve">Si MP es canal secundario: baja prioridad. Si es el canal principal: alta prioridad.</w:t>
            </w:r>
          </w:p>
        </w:tc>
        <w:tc>
          <w:tcPr>
            <w:tcW w:type="dxa" w:w="2340"/>
            <w:tcBorders>
              <w:top w:val="single" w:color="CCCCCC" w:sz="1"/>
              <w:left w:val="single" w:color="CCCCCC" w:sz="1"/>
              <w:bottom w:val="single" w:color="CCCCCC" w:sz="1"/>
              <w:right w:val="single" w:color="CCCCCC" w:sz="1"/>
            </w:tcBorders>
            <w:shd w:fill="FFF3E0" w:val="clear"/>
            <w:tcMar>
              <w:top w:type="dxa" w:w="80"/>
              <w:left w:type="dxa" w:w="100"/>
              <w:bottom w:type="dxa" w:w="80"/>
              <w:right w:type="dxa" w:w="100"/>
            </w:tcMar>
          </w:tcPr>
          <w:p>
            <w:r>
              <w:rPr>
                <w:rFonts w:ascii="Calibri" w:cs="Calibri" w:eastAsia="Calibri" w:hAnsi="Calibri"/>
                <w:sz w:val="18"/>
                <w:szCs w:val="18"/>
              </w:rPr>
              <w:t xml:space="preserve">1 MP → plan básico. 3+ MPs → plan intermedio. 5+ MPs → plan enterprise.</w:t>
            </w:r>
          </w:p>
        </w:tc>
        <w:tc>
          <w:tcPr>
            <w:tcW w:type="dxa" w:w="2340"/>
            <w:tcBorders>
              <w:top w:val="single" w:color="CCCCCC" w:sz="1"/>
              <w:left w:val="single" w:color="CCCCCC" w:sz="1"/>
              <w:bottom w:val="single" w:color="CCCCCC" w:sz="1"/>
              <w:right w:val="single" w:color="CCCCCC" w:sz="1"/>
            </w:tcBorders>
            <w:shd w:fill="FFF3E0" w:val="clear"/>
            <w:tcMar>
              <w:top w:type="dxa" w:w="80"/>
              <w:left w:type="dxa" w:w="100"/>
              <w:bottom w:type="dxa" w:w="80"/>
              <w:right w:type="dxa" w:w="100"/>
            </w:tcMar>
          </w:tcPr>
          <w:p>
            <w:r>
              <w:rPr>
                <w:rFonts w:ascii="Calibri" w:cs="Calibri" w:eastAsia="Calibri" w:hAnsi="Calibri"/>
                <w:sz w:val="18"/>
                <w:szCs w:val="18"/>
              </w:rPr>
              <w:t xml:space="preserve">Con ERP (SAP, Defontana, Softland): la integración agrega más valor operativo.</w:t>
            </w:r>
          </w:p>
        </w:tc>
        <w:tc>
          <w:tcPr>
            <w:tcW w:type="dxa" w:w="2340"/>
            <w:tcBorders>
              <w:top w:val="single" w:color="CCCCCC" w:sz="1"/>
              <w:left w:val="single" w:color="CCCCCC" w:sz="1"/>
              <w:bottom w:val="single" w:color="CCCCCC" w:sz="1"/>
              <w:right w:val="single" w:color="CCCCCC" w:sz="1"/>
            </w:tcBorders>
            <w:shd w:fill="FFF3E0" w:val="clear"/>
            <w:tcMar>
              <w:top w:type="dxa" w:w="80"/>
              <w:left w:type="dxa" w:w="100"/>
              <w:bottom w:type="dxa" w:w="80"/>
              <w:right w:type="dxa" w:w="100"/>
            </w:tcMar>
          </w:tcPr>
          <w:p>
            <w:r>
              <w:rPr>
                <w:rFonts w:ascii="Calibri" w:cs="Calibri" w:eastAsia="Calibri" w:hAnsi="Calibri"/>
                <w:sz w:val="18"/>
                <w:szCs w:val="18"/>
              </w:rPr>
              <w:t xml:space="preserve">¿No sabía que existía? ¿Mala experiencia previa? ¿Precio? Cada respuesta cambia el pitch.</w:t>
            </w:r>
          </w:p>
        </w:tc>
      </w:tr>
    </w:tbl>
    <w:p>
      <w:pPr>
        <w:spacing w:after="60" w:before="60"/>
      </w:pPr>
      <w:r>
        <w:t xml:space="preserve"/>
      </w:r>
    </w:p>
    <w:p>
      <w:pPr>
        <w:spacing w:after="80" w:before="200"/>
      </w:pPr>
      <w:r>
        <w:rPr>
          <w:rFonts w:ascii="Calibri" w:cs="Calibri" w:eastAsia="Calibri" w:hAnsi="Calibri"/>
          <w:b/>
          <w:bCs/>
          <w:color w:val="8A4000"/>
          <w:sz w:val="24"/>
          <w:szCs w:val="24"/>
        </w:rPr>
        <w:t xml:space="preserve">Resultado del proceso de calificación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A6A2A" w:sz="1"/>
              <w:left w:val="single" w:color="2A6A2A" w:sz="1"/>
              <w:bottom w:val="single" w:color="2A6A2A" w:sz="1"/>
              <w:right w:val="single" w:color="2A6A2A" w:sz="1"/>
            </w:tcBorders>
            <w:shd w:fill="E8F5E8" w:val="clear"/>
            <w:tcMar>
              <w:top w:type="dxa" w:w="120"/>
              <w:left w:type="dxa" w:w="160"/>
              <w:bottom w:type="dxa" w:w="120"/>
              <w:right w:type="dxa" w:w="160"/>
            </w:tcMar>
          </w:tcPr>
          <w:p>
            <w:r>
              <w:rPr>
                <w:rFonts w:ascii="Calibri" w:cs="Calibri" w:eastAsia="Calibri" w:hAnsi="Calibri"/>
                <w:b/>
                <w:bCs/>
                <w:color w:val="1A1A1A"/>
                <w:sz w:val="22"/>
                <w:szCs w:val="22"/>
              </w:rPr>
              <w:t xml:space="preserve">✅ SÍ califica</w:t>
            </w:r>
          </w:p>
          <w:p>
            <w:pPr>
              <w:spacing w:before="60"/>
            </w:pPr>
            <w:r>
              <w:rPr>
                <w:rFonts w:ascii="Calibri" w:cs="Calibri" w:eastAsia="Calibri" w:hAnsi="Calibri"/>
                <w:color w:val="333333"/>
                <w:sz w:val="20"/>
                <w:szCs w:val="20"/>
              </w:rPr>
              <w:t xml:space="preserve">eCommerce es core. Opera en 2+ MPs. Pasar a proceso comercial. Informar a Parcerias del avance.</w:t>
            </w:r>
          </w:p>
        </w:tc>
        <w:tc>
          <w:tcPr>
            <w:tcW w:type="dxa" w:w="3120"/>
            <w:tcBorders>
              <w:top w:val="single" w:color="C07800" w:sz="1"/>
              <w:left w:val="single" w:color="C07800" w:sz="1"/>
              <w:bottom w:val="single" w:color="C07800" w:sz="1"/>
              <w:right w:val="single" w:color="C07800" w:sz="1"/>
            </w:tcBorders>
            <w:shd w:fill="FFF8E1" w:val="clear"/>
            <w:tcMar>
              <w:top w:type="dxa" w:w="120"/>
              <w:left w:type="dxa" w:w="160"/>
              <w:bottom w:type="dxa" w:w="120"/>
              <w:right w:type="dxa" w:w="160"/>
            </w:tcMar>
          </w:tcPr>
          <w:p>
            <w:r>
              <w:rPr>
                <w:rFonts w:ascii="Calibri" w:cs="Calibri" w:eastAsia="Calibri" w:hAnsi="Calibri"/>
                <w:b/>
                <w:bCs/>
                <w:color w:val="1A1A1A"/>
                <w:sz w:val="22"/>
                <w:szCs w:val="22"/>
              </w:rPr>
              <w:t xml:space="preserve">🟡 Potencial — no califica hoy</w:t>
            </w:r>
          </w:p>
          <w:p>
            <w:pPr>
              <w:spacing w:before="60"/>
            </w:pPr>
            <w:r>
              <w:rPr>
                <w:rFonts w:ascii="Calibri" w:cs="Calibri" w:eastAsia="Calibri" w:hAnsi="Calibri"/>
                <w:color w:val="333333"/>
                <w:sz w:val="20"/>
                <w:szCs w:val="20"/>
              </w:rPr>
              <w:t xml:space="preserve">MP es canal secundario pero en crecimiento. Nutrir. Revisitar en 90 días. Registrar en HubSpot como lead frío.</w:t>
            </w:r>
          </w:p>
        </w:tc>
        <w:tc>
          <w:tcPr>
            <w:tcW w:type="dxa" w:w="3120"/>
            <w:tcBorders>
              <w:top w:val="single" w:color="CC0000" w:sz="1"/>
              <w:left w:val="single" w:color="CC0000" w:sz="1"/>
              <w:bottom w:val="single" w:color="CC0000" w:sz="1"/>
              <w:right w:val="single" w:color="CC0000" w:sz="1"/>
            </w:tcBorders>
            <w:shd w:fill="FFE8E8" w:val="clear"/>
            <w:tcMar>
              <w:top w:type="dxa" w:w="120"/>
              <w:left w:type="dxa" w:w="160"/>
              <w:bottom w:type="dxa" w:w="120"/>
              <w:right w:type="dxa" w:w="160"/>
            </w:tcMar>
          </w:tcPr>
          <w:p>
            <w:r>
              <w:rPr>
                <w:rFonts w:ascii="Calibri" w:cs="Calibri" w:eastAsia="Calibri" w:hAnsi="Calibri"/>
                <w:b/>
                <w:bCs/>
                <w:color w:val="1A1A1A"/>
                <w:sz w:val="22"/>
                <w:szCs w:val="22"/>
              </w:rPr>
              <w:t xml:space="preserve">❌ No aplica</w:t>
            </w:r>
          </w:p>
          <w:p>
            <w:pPr>
              <w:spacing w:before="60"/>
            </w:pPr>
            <w:r>
              <w:rPr>
                <w:rFonts w:ascii="Calibri" w:cs="Calibri" w:eastAsia="Calibri" w:hAnsi="Calibri"/>
                <w:color w:val="333333"/>
                <w:sz w:val="20"/>
                <w:szCs w:val="20"/>
              </w:rPr>
              <w:t xml:space="preserve">MP no es su negocio. Documentar el motivo EXACTO y reportar a Parcerias. Esta data es inteligencia de mercado.</w:t>
            </w:r>
          </w:p>
        </w:tc>
      </w:tr>
    </w:tbl>
    <w:p>
      <w:pPr>
        <w:spacing w:after="60" w:before="60"/>
      </w:pPr>
      <w:r>
        <w:t xml:space="preserve"/>
      </w:r>
    </w:p>
    <w:p>
      <w:pPr>
        <w:spacing w:after="80" w:before="200"/>
      </w:pPr>
      <w:r>
        <w:rPr>
          <w:rFonts w:ascii="Calibri" w:cs="Calibri" w:eastAsia="Calibri" w:hAnsi="Calibri"/>
          <w:b/>
          <w:bCs/>
          <w:color w:val="AA0000"/>
          <w:sz w:val="24"/>
          <w:szCs w:val="24"/>
        </w:rPr>
        <w:t xml:space="preserve">Si el seller dice que no le interesa — preguntas para documentar el motivo</w:t>
      </w:r>
    </w:p>
    <w:p>
      <w:pPr>
        <w:pStyle w:val="ListParagraph"/>
        <w:numPr>
          <w:ilvl w:val="0"/>
          <w:numId w:val="2"/>
        </w:numPr>
        <w:spacing w:after="40" w:before="40"/>
      </w:pPr>
      <w:r>
        <w:rPr>
          <w:rFonts w:ascii="Calibri" w:cs="Calibri" w:eastAsia="Calibri" w:hAnsi="Calibri"/>
          <w:b w:val="false"/>
          <w:bCs w:val="false"/>
          <w:sz w:val="22"/>
          <w:szCs w:val="22"/>
        </w:rPr>
        <w:t xml:space="preserve">¿Ya tiene una solución de integración similar?</w:t>
      </w:r>
    </w:p>
    <w:p>
      <w:pPr>
        <w:pStyle w:val="ListParagraph"/>
        <w:numPr>
          <w:ilvl w:val="0"/>
          <w:numId w:val="2"/>
        </w:numPr>
        <w:spacing w:after="40" w:before="40"/>
      </w:pPr>
      <w:r>
        <w:rPr>
          <w:rFonts w:ascii="Calibri" w:cs="Calibri" w:eastAsia="Calibri" w:hAnsi="Calibri"/>
          <w:b w:val="false"/>
          <w:bCs w:val="false"/>
          <w:sz w:val="22"/>
          <w:szCs w:val="22"/>
        </w:rPr>
        <w:t xml:space="preserve">¿El volumen de ventas en el marketplace no justifica la inversión?</w:t>
      </w:r>
    </w:p>
    <w:p>
      <w:pPr>
        <w:pStyle w:val="ListParagraph"/>
        <w:numPr>
          <w:ilvl w:val="0"/>
          <w:numId w:val="2"/>
        </w:numPr>
        <w:spacing w:after="40" w:before="40"/>
      </w:pPr>
      <w:r>
        <w:rPr>
          <w:rFonts w:ascii="Calibri" w:cs="Calibri" w:eastAsia="Calibri" w:hAnsi="Calibri"/>
          <w:b w:val="false"/>
          <w:bCs w:val="false"/>
          <w:sz w:val="22"/>
          <w:szCs w:val="22"/>
        </w:rPr>
        <w:t xml:space="preserve">¿Su modelo de negocio no depende del marketplace?</w:t>
      </w:r>
    </w:p>
    <w:p>
      <w:pPr>
        <w:pStyle w:val="ListParagraph"/>
        <w:numPr>
          <w:ilvl w:val="0"/>
          <w:numId w:val="2"/>
        </w:numPr>
        <w:spacing w:after="40" w:before="40"/>
      </w:pPr>
      <w:r>
        <w:rPr>
          <w:rFonts w:ascii="Calibri" w:cs="Calibri" w:eastAsia="Calibri" w:hAnsi="Calibri"/>
          <w:b w:val="false"/>
          <w:bCs w:val="false"/>
          <w:sz w:val="22"/>
          <w:szCs w:val="22"/>
        </w:rPr>
        <w:t xml:space="preserve">¿Tuvo una mala experiencia previa con integradores?</w:t>
      </w:r>
    </w:p>
    <w:p>
      <w:pPr>
        <w:spacing w:after="60" w:before="60"/>
      </w:pPr>
      <w:r>
        <w:t xml:space="preserve"/>
      </w:r>
    </w:p>
    <w:p>
      <w:pPr>
        <w:spacing w:after="80" w:before="60"/>
      </w:pPr>
      <w:r>
        <w:rPr>
          <w:rFonts w:ascii="Calibri" w:cs="Calibri" w:eastAsia="Calibri" w:hAnsi="Calibri"/>
          <w:i/>
          <w:iCs/>
          <w:color w:val="8A4000"/>
          <w:sz w:val="22"/>
          <w:szCs w:val="22"/>
        </w:rPr>
        <w:t xml:space="preserve">IMPORTANTE: documentar cada motivo de rechazo no es burocracia — es inteligencia de mercado. Si el 60% de los leads de un marketplace no califica por el mismo motivo, hay un problema de segmentación que debe reportarse a Parcerias y Producto.</w:t>
      </w:r>
    </w:p>
    <w:p>
      <w:pPr>
        <w:spacing w:after="60" w:before="60"/>
      </w:pPr>
      <w:r>
        <w:t xml:space="preserve"/>
      </w:r>
    </w:p>
    <w:p>
      <w:pPr>
        <w:pStyle w:val="Heading2"/>
        <w:spacing w:after="120" w:before="280"/>
      </w:pPr>
      <w:r>
        <w:rPr>
          <w:rFonts w:ascii="Calibri" w:cs="Calibri" w:eastAsia="Calibri" w:hAnsi="Calibri"/>
          <w:b/>
          <w:bCs/>
          <w:color w:val="1A56A0"/>
          <w:sz w:val="28"/>
          <w:szCs w:val="28"/>
        </w:rPr>
        <w:t xml:space="preserve">4.4 Flujo Farming — Cliente existente con marketplaces sin activar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AF4FB" w:val="clear"/>
            <w:tcMar>
              <w:top w:type="dxa" w:w="100"/>
              <w:left w:type="dxa" w:w="140"/>
              <w:bottom w:type="dxa" w:w="100"/>
              <w:right w:type="dxa" w:w="140"/>
            </w:tcMar>
          </w:tcPr>
          <w:p>
            <w:r>
              <w:rPr>
                <w:rFonts w:ascii="Calibri" w:cs="Calibri" w:eastAsia="Calibri" w:hAnsi="Calibri"/>
                <w:b/>
                <w:bCs/>
                <w:color w:val="1A56A0"/>
                <w:sz w:val="20"/>
                <w:szCs w:val="20"/>
              </w:rPr>
              <w:t xml:space="preserve">Fuente 1 — Parcerias</w:t>
            </w:r>
          </w:p>
          <w:p>
            <w:pPr>
              <w:spacing w:before="40"/>
            </w:pPr>
            <w:r>
              <w:rPr>
                <w:rFonts w:ascii="Calibri" w:cs="Calibri" w:eastAsia="Calibri" w:hAnsi="Calibri"/>
                <w:sz w:val="18"/>
                <w:szCs w:val="18"/>
              </w:rPr>
              <w:t xml:space="preserve">El marketplace detecta que un seller que YA es cliente de AnyMarket no tiene activa la integración para ese canal específico. Lo reporta a Parcerias → Parcerias lo pasa al CSM asignado.</w:t>
            </w:r>
          </w:p>
        </w:tc>
        <w:tc>
          <w:tcPr>
            <w:tcW w:type="dxa" w:w="4680"/>
            <w:tcBorders>
              <w:top w:val="single" w:color="CCCCCC" w:sz="1"/>
              <w:left w:val="single" w:color="CCCCCC" w:sz="1"/>
              <w:bottom w:val="single" w:color="CCCCCC" w:sz="1"/>
              <w:right w:val="single" w:color="CCCCCC" w:sz="1"/>
            </w:tcBorders>
            <w:shd w:fill="E8F5E8" w:val="clear"/>
            <w:tcMar>
              <w:top w:type="dxa" w:w="100"/>
              <w:left w:type="dxa" w:w="140"/>
              <w:bottom w:type="dxa" w:w="100"/>
              <w:right w:type="dxa" w:w="140"/>
            </w:tcMar>
          </w:tcPr>
          <w:p>
            <w:r>
              <w:rPr>
                <w:rFonts w:ascii="Calibri" w:cs="Calibri" w:eastAsia="Calibri" w:hAnsi="Calibri"/>
                <w:b/>
                <w:bCs/>
                <w:color w:val="2A6A2A"/>
                <w:sz w:val="20"/>
                <w:szCs w:val="20"/>
              </w:rPr>
              <w:t xml:space="preserve">Fuente 2 — Dashboard CSM</w:t>
            </w:r>
          </w:p>
          <w:p>
            <w:pPr>
              <w:spacing w:before="40"/>
            </w:pPr>
            <w:r>
              <w:rPr>
                <w:rFonts w:ascii="Calibri" w:cs="Calibri" w:eastAsia="Calibri" w:hAnsi="Calibri"/>
                <w:sz w:val="18"/>
                <w:szCs w:val="18"/>
              </w:rPr>
              <w:t xml:space="preserve">El CSM detecta en AnyMarket que el cliente tiene plan para N marketplaces pero solo usa X. Ejemplo clave: plan de 8 MPs con solo 2 activos.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AA5500" w:sz="1"/>
              <w:left w:val="single" w:color="AA5500" w:sz="1"/>
              <w:bottom w:val="single" w:color="AA5500" w:sz="1"/>
              <w:right w:val="single" w:color="AA5500" w:sz="1"/>
            </w:tcBorders>
            <w:shd w:fill="AA5500" w:val="clear"/>
            <w:tcMar>
              <w:top w:type="dxa" w:w="120"/>
              <w:left w:type="dxa" w:w="100"/>
              <w:bottom w:type="dxa" w:w="120"/>
              <w:right w:type="dxa" w:w="100"/>
            </w:tcMar>
            <w:vAlign w:val="center"/>
          </w:tcPr>
          <w:p>
            <w:pPr>
              <w:jc w:val="center"/>
            </w:pPr>
            <w:r>
              <w:rPr>
                <w:rFonts w:ascii="Calibri" w:cs="Calibri" w:eastAsia="Calibri" w:hAnsi="Calibri"/>
                <w:b/>
                <w:bCs/>
                <w:color w:val="FFFFFF"/>
                <w:sz w:val="28"/>
                <w:szCs w:val="28"/>
              </w:rPr>
              <w:t xml:space="preserve">1</w:t>
            </w:r>
          </w:p>
        </w:tc>
        <w:tc>
          <w:tcPr>
            <w:tcW w:type="dxa" w:w="8560"/>
            <w:tcBorders>
              <w:top w:val="single" w:color="AA5500" w:sz="1"/>
              <w:left w:val="single" w:color="AA5500" w:sz="1"/>
              <w:bottom w:val="single" w:color="AA5500" w:sz="1"/>
              <w:right w:val="single" w:color="AA5500" w:sz="1"/>
            </w:tcBorders>
            <w:shd w:fill="FFF3E0" w:val="clear"/>
            <w:tcMar>
              <w:top w:type="dxa" w:w="100"/>
              <w:left w:type="dxa" w:w="160"/>
              <w:bottom w:type="dxa" w:w="100"/>
              <w:right w:type="dxa" w:w="160"/>
            </w:tcMar>
          </w:tcPr>
          <w:p>
            <w:r>
              <w:rPr>
                <w:rFonts w:ascii="Calibri" w:cs="Calibri" w:eastAsia="Calibri" w:hAnsi="Calibri"/>
                <w:b/>
                <w:bCs/>
                <w:color w:val="1A1A1A"/>
                <w:sz w:val="22"/>
                <w:szCs w:val="22"/>
              </w:rPr>
              <w:t xml:space="preserve">Verificar que no hay bloqueantes antes de proponer</w:t>
            </w:r>
          </w:p>
          <w:p>
            <w:pPr>
              <w:spacing w:before="40"/>
            </w:pPr>
            <w:r>
              <w:rPr>
                <w:rFonts w:ascii="Calibri" w:cs="Calibri" w:eastAsia="Calibri" w:hAnsi="Calibri"/>
                <w:color w:val="333333"/>
                <w:sz w:val="20"/>
                <w:szCs w:val="20"/>
              </w:rPr>
              <w:t xml:space="preserve">Si hay tickets abiertos: resolver primero. Si el NPS es negativo: hablar del problema antes de proponer expansión. Si el Health Score es &lt; 60: este no es el momento para expansión.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AA5500" w:sz="1"/>
              <w:left w:val="single" w:color="AA5500" w:sz="1"/>
              <w:bottom w:val="single" w:color="AA5500" w:sz="1"/>
              <w:right w:val="single" w:color="AA5500" w:sz="1"/>
            </w:tcBorders>
            <w:shd w:fill="AA5500" w:val="clear"/>
            <w:tcMar>
              <w:top w:type="dxa" w:w="120"/>
              <w:left w:type="dxa" w:w="100"/>
              <w:bottom w:type="dxa" w:w="120"/>
              <w:right w:type="dxa" w:w="100"/>
            </w:tcMar>
            <w:vAlign w:val="center"/>
          </w:tcPr>
          <w:p>
            <w:pPr>
              <w:jc w:val="center"/>
            </w:pPr>
            <w:r>
              <w:rPr>
                <w:rFonts w:ascii="Calibri" w:cs="Calibri" w:eastAsia="Calibri" w:hAnsi="Calibri"/>
                <w:b/>
                <w:bCs/>
                <w:color w:val="FFFFFF"/>
                <w:sz w:val="28"/>
                <w:szCs w:val="28"/>
              </w:rPr>
              <w:t xml:space="preserve">2</w:t>
            </w:r>
          </w:p>
        </w:tc>
        <w:tc>
          <w:tcPr>
            <w:tcW w:type="dxa" w:w="8560"/>
            <w:tcBorders>
              <w:top w:val="single" w:color="AA5500" w:sz="1"/>
              <w:left w:val="single" w:color="AA5500" w:sz="1"/>
              <w:bottom w:val="single" w:color="AA5500" w:sz="1"/>
              <w:right w:val="single" w:color="AA5500" w:sz="1"/>
            </w:tcBorders>
            <w:shd w:fill="FFF3E0" w:val="clear"/>
            <w:tcMar>
              <w:top w:type="dxa" w:w="100"/>
              <w:left w:type="dxa" w:w="160"/>
              <w:bottom w:type="dxa" w:w="100"/>
              <w:right w:type="dxa" w:w="160"/>
            </w:tcMar>
          </w:tcPr>
          <w:p>
            <w:r>
              <w:rPr>
                <w:rFonts w:ascii="Calibri" w:cs="Calibri" w:eastAsia="Calibri" w:hAnsi="Calibri"/>
                <w:b/>
                <w:bCs/>
                <w:color w:val="1A1A1A"/>
                <w:sz w:val="22"/>
                <w:szCs w:val="22"/>
              </w:rPr>
              <w:t xml:space="preserve">Diagnóstico en AnyMarket</w:t>
            </w:r>
          </w:p>
          <w:p>
            <w:pPr>
              <w:spacing w:before="40"/>
            </w:pPr>
            <w:r>
              <w:rPr>
                <w:rFonts w:ascii="Calibri" w:cs="Calibri" w:eastAsia="Calibri" w:hAnsi="Calibri"/>
                <w:color w:val="333333"/>
                <w:sz w:val="20"/>
                <w:szCs w:val="20"/>
              </w:rPr>
              <w:t xml:space="preserve">Ingresar con el contexto del cliente. Mapear: MPs disponibles en su plan vs. MPs con pedidos activos en los últimos 30 días. Revisar catálogo: ¿tiene productos para publicar en los MPs inactivos?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AA5500" w:sz="1"/>
              <w:left w:val="single" w:color="AA5500" w:sz="1"/>
              <w:bottom w:val="single" w:color="AA5500" w:sz="1"/>
              <w:right w:val="single" w:color="AA5500" w:sz="1"/>
            </w:tcBorders>
            <w:shd w:fill="AA5500" w:val="clear"/>
            <w:tcMar>
              <w:top w:type="dxa" w:w="120"/>
              <w:left w:type="dxa" w:w="100"/>
              <w:bottom w:type="dxa" w:w="120"/>
              <w:right w:type="dxa" w:w="100"/>
            </w:tcMar>
            <w:vAlign w:val="center"/>
          </w:tcPr>
          <w:p>
            <w:pPr>
              <w:jc w:val="center"/>
            </w:pPr>
            <w:r>
              <w:rPr>
                <w:rFonts w:ascii="Calibri" w:cs="Calibri" w:eastAsia="Calibri" w:hAnsi="Calibri"/>
                <w:b/>
                <w:bCs/>
                <w:color w:val="FFFFFF"/>
                <w:sz w:val="28"/>
                <w:szCs w:val="28"/>
              </w:rPr>
              <w:t xml:space="preserve">3</w:t>
            </w:r>
          </w:p>
        </w:tc>
        <w:tc>
          <w:tcPr>
            <w:tcW w:type="dxa" w:w="8560"/>
            <w:tcBorders>
              <w:top w:val="single" w:color="AA5500" w:sz="1"/>
              <w:left w:val="single" w:color="AA5500" w:sz="1"/>
              <w:bottom w:val="single" w:color="AA5500" w:sz="1"/>
              <w:right w:val="single" w:color="AA5500" w:sz="1"/>
            </w:tcBorders>
            <w:shd w:fill="FFF3E0" w:val="clear"/>
            <w:tcMar>
              <w:top w:type="dxa" w:w="100"/>
              <w:left w:type="dxa" w:w="160"/>
              <w:bottom w:type="dxa" w:w="100"/>
              <w:right w:type="dxa" w:w="160"/>
            </w:tcMar>
          </w:tcPr>
          <w:p>
            <w:r>
              <w:rPr>
                <w:rFonts w:ascii="Calibri" w:cs="Calibri" w:eastAsia="Calibri" w:hAnsi="Calibri"/>
                <w:b/>
                <w:bCs/>
                <w:color w:val="1A1A1A"/>
                <w:sz w:val="22"/>
                <w:szCs w:val="22"/>
              </w:rPr>
              <w:t xml:space="preserve">Apertura consultiva</w:t>
            </w:r>
          </w:p>
          <w:p>
            <w:pPr>
              <w:spacing w:before="40"/>
            </w:pPr>
            <w:r>
              <w:rPr>
                <w:rFonts w:ascii="Calibri" w:cs="Calibri" w:eastAsia="Calibri" w:hAnsi="Calibri"/>
                <w:color w:val="333333"/>
                <w:sz w:val="20"/>
                <w:szCs w:val="20"/>
              </w:rPr>
              <w:t xml:space="preserve">No abrir con 'tienes MPs sin usar'. Abrir preguntando.</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5500" w:sz="1"/>
              <w:left w:val="thick" w:color="AA5500" w:sz="16"/>
              <w:bottom w:val="single" w:color="AA5500" w:sz="1"/>
              <w:right w:val="single" w:color="AA5500" w:sz="1"/>
            </w:tcBorders>
            <w:shd w:fill="F0F7FF" w:val="clear"/>
            <w:tcMar>
              <w:top w:type="dxa" w:w="100"/>
              <w:left w:type="dxa" w:w="180"/>
              <w:bottom w:type="dxa" w:w="100"/>
              <w:right w:type="dxa" w:w="180"/>
            </w:tcMar>
          </w:tcPr>
          <w:p>
            <w:r>
              <w:rPr>
                <w:rFonts w:ascii="Calibri" w:cs="Calibri" w:eastAsia="Calibri" w:hAnsi="Calibri"/>
                <w:i/>
                <w:iCs/>
                <w:color w:val="2A4A7A"/>
                <w:sz w:val="21"/>
                <w:szCs w:val="21"/>
              </w:rPr>
              <w:t xml:space="preserve">"[Nombre], revisando tu operación en AnyMarket veo que tienes [N] marketplaces disponibles en tu plan pero solo estás activo en [X]. Quería entender si es una decisión estratégica o si hay algo que los está limitando — porque si hay oportunidad de activar los otros canales, podría impactar bastante tu GMV."</w:t>
            </w:r>
          </w:p>
        </w:tc>
      </w:tr>
    </w:tbl>
    <w:p>
      <w:pPr>
        <w:spacing w:after="60" w:before="60"/>
      </w:pPr>
      <w:r>
        <w:t xml:space="preserve"/>
      </w:r>
    </w:p>
    <w:p>
      <w:pPr>
        <w:spacing w:after="80" w:before="200"/>
      </w:pPr>
      <w:r>
        <w:rPr>
          <w:rFonts w:ascii="Calibri" w:cs="Calibri" w:eastAsia="Calibri" w:hAnsi="Calibri"/>
          <w:b/>
          <w:bCs/>
          <w:color w:val="2A6A2A"/>
          <w:sz w:val="24"/>
          <w:szCs w:val="24"/>
        </w:rPr>
        <w:t xml:space="preserve">Los 6 motivos más frecuentes de no-activación (y cómo manejar cada uno)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A6A" w:val="clear"/>
            <w:tcMar>
              <w:top w:type="dxa" w:w="80"/>
              <w:left w:type="dxa" w:w="100"/>
              <w:bottom w:type="dxa" w:w="80"/>
              <w:right w:type="dxa" w:w="100"/>
            </w:tcMar>
          </w:tcPr>
          <w:p>
            <w:r>
              <w:rPr>
                <w:rFonts w:ascii="Calibri" w:cs="Calibri" w:eastAsia="Calibri" w:hAnsi="Calibri"/>
                <w:b/>
                <w:bCs/>
                <w:color w:val="FFFFFF"/>
                <w:sz w:val="20"/>
                <w:szCs w:val="20"/>
              </w:rPr>
              <w:t xml:space="preserve">Motivo</w:t>
            </w:r>
          </w:p>
        </w:tc>
        <w:tc>
          <w:tcPr>
            <w:tcW w:type="dxa" w:w="6360"/>
            <w:tcBorders>
              <w:top w:val="single" w:color="CCCCCC" w:sz="1"/>
              <w:left w:val="single" w:color="CCCCCC" w:sz="1"/>
              <w:bottom w:val="single" w:color="CCCCCC" w:sz="1"/>
              <w:right w:val="single" w:color="CCCCCC" w:sz="1"/>
            </w:tcBorders>
            <w:shd w:fill="1A3A6A" w:val="clear"/>
            <w:tcMar>
              <w:top w:type="dxa" w:w="80"/>
              <w:left w:type="dxa" w:w="100"/>
              <w:bottom w:type="dxa" w:w="80"/>
              <w:right w:type="dxa" w:w="100"/>
            </w:tcMar>
          </w:tcPr>
          <w:p>
            <w:r>
              <w:rPr>
                <w:rFonts w:ascii="Calibri" w:cs="Calibri" w:eastAsia="Calibri" w:hAnsi="Calibri"/>
                <w:b/>
                <w:bCs/>
                <w:color w:val="FFFFFF"/>
                <w:sz w:val="20"/>
                <w:szCs w:val="20"/>
              </w:rPr>
              <w:t xml:space="preserve">Respuesta recomendada del CSM</w:t>
            </w:r>
          </w:p>
        </w:tc>
      </w:tr>
      <w:tr>
        <w:tc>
          <w:tcPr>
            <w:tcW w:type="dxa" w:w="3000"/>
            <w:tcBorders>
              <w:top w:val="single" w:color="CCCCCC" w:sz="1"/>
              <w:left w:val="single" w:color="CCCCCC" w:sz="1"/>
              <w:bottom w:val="single" w:color="CCCCCC" w:sz="1"/>
              <w:right w:val="single" w:color="CCCCCC" w:sz="1"/>
            </w:tcBorders>
            <w:shd w:fill="FFF3E0" w:val="clear"/>
            <w:tcMar>
              <w:top w:type="dxa" w:w="80"/>
              <w:left w:type="dxa" w:w="100"/>
              <w:bottom w:type="dxa" w:w="80"/>
              <w:right w:type="dxa" w:w="100"/>
            </w:tcMar>
          </w:tcPr>
          <w:p>
            <w:r>
              <w:rPr>
                <w:rFonts w:ascii="Calibri" w:cs="Calibri" w:eastAsia="Calibri" w:hAnsi="Calibri"/>
                <w:b/>
                <w:bCs/>
                <w:color w:val="8A4000"/>
                <w:sz w:val="18"/>
                <w:szCs w:val="18"/>
              </w:rPr>
              <w:t xml:space="preserve">No saben que los tienen</w:t>
            </w:r>
          </w:p>
        </w:tc>
        <w:tc>
          <w:tcPr>
            <w:tcW w:type="dxa" w:w="6360"/>
            <w:tcBorders>
              <w:top w:val="single" w:color="CCCCCC" w:sz="1"/>
              <w:left w:val="single" w:color="CCCCCC" w:sz="1"/>
              <w:bottom w:val="single" w:color="CCCCCC" w:sz="1"/>
              <w:right w:val="single" w:color="CCCCCC" w:sz="1"/>
            </w:tcBorders>
            <w:shd w:fill="FAFAFA" w:val="clear"/>
            <w:tcMar>
              <w:top w:type="dxa" w:w="80"/>
              <w:left w:type="dxa" w:w="100"/>
              <w:bottom w:type="dxa" w:w="80"/>
              <w:right w:type="dxa" w:w="100"/>
            </w:tcMar>
          </w:tcPr>
          <w:p>
            <w:r>
              <w:rPr>
                <w:rFonts w:ascii="Calibri" w:cs="Calibri" w:eastAsia="Calibri" w:hAnsi="Calibri"/>
                <w:i/>
                <w:iCs/>
                <w:sz w:val="18"/>
                <w:szCs w:val="18"/>
              </w:rPr>
              <w:t xml:space="preserve">"Perfecto — vamos a revisar juntos qué MPs tiene tu plan. Te muestro cuáles tienes disponibles y cómo activarlos en menos de una semana."</w:t>
            </w:r>
          </w:p>
        </w:tc>
      </w:tr>
      <w:tr>
        <w:tc>
          <w:tcPr>
            <w:tcW w:type="dxa" w:w="3000"/>
            <w:tcBorders>
              <w:top w:val="single" w:color="CCCCCC" w:sz="1"/>
              <w:left w:val="single" w:color="CCCCCC" w:sz="1"/>
              <w:bottom w:val="single" w:color="CCCCCC" w:sz="1"/>
              <w:right w:val="single" w:color="CCCCCC" w:sz="1"/>
            </w:tcBorders>
            <w:shd w:fill="FFF3E0" w:val="clear"/>
            <w:tcMar>
              <w:top w:type="dxa" w:w="80"/>
              <w:left w:type="dxa" w:w="100"/>
              <w:bottom w:type="dxa" w:w="80"/>
              <w:right w:type="dxa" w:w="100"/>
            </w:tcMar>
          </w:tcPr>
          <w:p>
            <w:r>
              <w:rPr>
                <w:rFonts w:ascii="Calibri" w:cs="Calibri" w:eastAsia="Calibri" w:hAnsi="Calibri"/>
                <w:b/>
                <w:bCs/>
                <w:color w:val="8A4000"/>
                <w:sz w:val="18"/>
                <w:szCs w:val="18"/>
              </w:rPr>
              <w:t xml:space="preserve">Barrera técnica</w:t>
            </w:r>
          </w:p>
        </w:tc>
        <w:tc>
          <w:tcPr>
            <w:tcW w:type="dxa" w:w="6360"/>
            <w:tcBorders>
              <w:top w:val="single" w:color="CCCCCC" w:sz="1"/>
              <w:left w:val="single" w:color="CCCCCC" w:sz="1"/>
              <w:bottom w:val="single" w:color="CCCCCC" w:sz="1"/>
              <w:right w:val="single" w:color="CCCCCC" w:sz="1"/>
            </w:tcBorders>
            <w:shd w:fill="FAFAFA" w:val="clear"/>
            <w:tcMar>
              <w:top w:type="dxa" w:w="80"/>
              <w:left w:type="dxa" w:w="100"/>
              <w:bottom w:type="dxa" w:w="80"/>
              <w:right w:type="dxa" w:w="100"/>
            </w:tcMar>
          </w:tcPr>
          <w:p>
            <w:r>
              <w:rPr>
                <w:rFonts w:ascii="Calibri" w:cs="Calibri" w:eastAsia="Calibri" w:hAnsi="Calibri"/>
                <w:i/>
                <w:iCs/>
                <w:sz w:val="18"/>
                <w:szCs w:val="18"/>
              </w:rPr>
              <w:t xml:space="preserve">"Entiendo. ¿Cuándo tienes 30 minutos para una sesión técnica? Puedo coordinar con nuestro equipo de soporte para guiarte en la activación."</w:t>
            </w:r>
          </w:p>
        </w:tc>
      </w:tr>
      <w:tr>
        <w:tc>
          <w:tcPr>
            <w:tcW w:type="dxa" w:w="3000"/>
            <w:tcBorders>
              <w:top w:val="single" w:color="CCCCCC" w:sz="1"/>
              <w:left w:val="single" w:color="CCCCCC" w:sz="1"/>
              <w:bottom w:val="single" w:color="CCCCCC" w:sz="1"/>
              <w:right w:val="single" w:color="CCCCCC" w:sz="1"/>
            </w:tcBorders>
            <w:shd w:fill="FFF3E0" w:val="clear"/>
            <w:tcMar>
              <w:top w:type="dxa" w:w="80"/>
              <w:left w:type="dxa" w:w="100"/>
              <w:bottom w:type="dxa" w:w="80"/>
              <w:right w:type="dxa" w:w="100"/>
            </w:tcMar>
          </w:tcPr>
          <w:p>
            <w:r>
              <w:rPr>
                <w:rFonts w:ascii="Calibri" w:cs="Calibri" w:eastAsia="Calibri" w:hAnsi="Calibri"/>
                <w:b/>
                <w:bCs/>
                <w:color w:val="8A4000"/>
                <w:sz w:val="18"/>
                <w:szCs w:val="18"/>
              </w:rPr>
              <w:t xml:space="preserve">Falta de equipo</w:t>
            </w:r>
          </w:p>
        </w:tc>
        <w:tc>
          <w:tcPr>
            <w:tcW w:type="dxa" w:w="6360"/>
            <w:tcBorders>
              <w:top w:val="single" w:color="CCCCCC" w:sz="1"/>
              <w:left w:val="single" w:color="CCCCCC" w:sz="1"/>
              <w:bottom w:val="single" w:color="CCCCCC" w:sz="1"/>
              <w:right w:val="single" w:color="CCCCCC" w:sz="1"/>
            </w:tcBorders>
            <w:shd w:fill="FAFAFA" w:val="clear"/>
            <w:tcMar>
              <w:top w:type="dxa" w:w="80"/>
              <w:left w:type="dxa" w:w="100"/>
              <w:bottom w:type="dxa" w:w="80"/>
              <w:right w:type="dxa" w:w="100"/>
            </w:tcMar>
          </w:tcPr>
          <w:p>
            <w:r>
              <w:rPr>
                <w:rFonts w:ascii="Calibri" w:cs="Calibri" w:eastAsia="Calibri" w:hAnsi="Calibri"/>
                <w:i/>
                <w:iCs/>
                <w:sz w:val="18"/>
                <w:szCs w:val="18"/>
              </w:rPr>
              <w:t xml:space="preserve">"¿Cuál sería el canal de menor fricción para empezar? Podríamos activar uno solo primero y evaluar el resultado antes de ir a los demás."</w:t>
            </w:r>
          </w:p>
        </w:tc>
      </w:tr>
      <w:tr>
        <w:tc>
          <w:tcPr>
            <w:tcW w:type="dxa" w:w="3000"/>
            <w:tcBorders>
              <w:top w:val="single" w:color="CCCCCC" w:sz="1"/>
              <w:left w:val="single" w:color="CCCCCC" w:sz="1"/>
              <w:bottom w:val="single" w:color="CCCCCC" w:sz="1"/>
              <w:right w:val="single" w:color="CCCCCC" w:sz="1"/>
            </w:tcBorders>
            <w:shd w:fill="FFF3E0" w:val="clear"/>
            <w:tcMar>
              <w:top w:type="dxa" w:w="80"/>
              <w:left w:type="dxa" w:w="100"/>
              <w:bottom w:type="dxa" w:w="80"/>
              <w:right w:type="dxa" w:w="100"/>
            </w:tcMar>
          </w:tcPr>
          <w:p>
            <w:r>
              <w:rPr>
                <w:rFonts w:ascii="Calibri" w:cs="Calibri" w:eastAsia="Calibri" w:hAnsi="Calibri"/>
                <w:b/>
                <w:bCs/>
                <w:color w:val="8A4000"/>
                <w:sz w:val="18"/>
                <w:szCs w:val="18"/>
              </w:rPr>
              <w:t xml:space="preserve">Mala experiencia previa</w:t>
            </w:r>
          </w:p>
        </w:tc>
        <w:tc>
          <w:tcPr>
            <w:tcW w:type="dxa" w:w="6360"/>
            <w:tcBorders>
              <w:top w:val="single" w:color="CCCCCC" w:sz="1"/>
              <w:left w:val="single" w:color="CCCCCC" w:sz="1"/>
              <w:bottom w:val="single" w:color="CCCCCC" w:sz="1"/>
              <w:right w:val="single" w:color="CCCCCC" w:sz="1"/>
            </w:tcBorders>
            <w:shd w:fill="FAFAFA" w:val="clear"/>
            <w:tcMar>
              <w:top w:type="dxa" w:w="80"/>
              <w:left w:type="dxa" w:w="100"/>
              <w:bottom w:type="dxa" w:w="80"/>
              <w:right w:type="dxa" w:w="100"/>
            </w:tcMar>
          </w:tcPr>
          <w:p>
            <w:r>
              <w:rPr>
                <w:rFonts w:ascii="Calibri" w:cs="Calibri" w:eastAsia="Calibri" w:hAnsi="Calibri"/>
                <w:i/>
                <w:iCs/>
                <w:sz w:val="18"/>
                <w:szCs w:val="18"/>
              </w:rPr>
              <w:t xml:space="preserve">"Cuéntame qué pasó — quiero entender qué fue diferente entonces y cómo podemos evitarlo esta vez."</w:t>
            </w:r>
          </w:p>
        </w:tc>
      </w:tr>
      <w:tr>
        <w:tc>
          <w:tcPr>
            <w:tcW w:type="dxa" w:w="3000"/>
            <w:tcBorders>
              <w:top w:val="single" w:color="CCCCCC" w:sz="1"/>
              <w:left w:val="single" w:color="CCCCCC" w:sz="1"/>
              <w:bottom w:val="single" w:color="CCCCCC" w:sz="1"/>
              <w:right w:val="single" w:color="CCCCCC" w:sz="1"/>
            </w:tcBorders>
            <w:shd w:fill="FFF3E0" w:val="clear"/>
            <w:tcMar>
              <w:top w:type="dxa" w:w="80"/>
              <w:left w:type="dxa" w:w="100"/>
              <w:bottom w:type="dxa" w:w="80"/>
              <w:right w:type="dxa" w:w="100"/>
            </w:tcMar>
          </w:tcPr>
          <w:p>
            <w:r>
              <w:rPr>
                <w:rFonts w:ascii="Calibri" w:cs="Calibri" w:eastAsia="Calibri" w:hAnsi="Calibri"/>
                <w:b/>
                <w:bCs/>
                <w:color w:val="8A4000"/>
                <w:sz w:val="18"/>
                <w:szCs w:val="18"/>
              </w:rPr>
              <w:t xml:space="preserve">Decisión de marca / acuerdo con distribuidor</w:t>
            </w:r>
          </w:p>
        </w:tc>
        <w:tc>
          <w:tcPr>
            <w:tcW w:type="dxa" w:w="6360"/>
            <w:tcBorders>
              <w:top w:val="single" w:color="CCCCCC" w:sz="1"/>
              <w:left w:val="single" w:color="CCCCCC" w:sz="1"/>
              <w:bottom w:val="single" w:color="CCCCCC" w:sz="1"/>
              <w:right w:val="single" w:color="CCCCCC" w:sz="1"/>
            </w:tcBorders>
            <w:shd w:fill="FAFAFA" w:val="clear"/>
            <w:tcMar>
              <w:top w:type="dxa" w:w="80"/>
              <w:left w:type="dxa" w:w="100"/>
              <w:bottom w:type="dxa" w:w="80"/>
              <w:right w:type="dxa" w:w="100"/>
            </w:tcMar>
          </w:tcPr>
          <w:p>
            <w:r>
              <w:rPr>
                <w:rFonts w:ascii="Calibri" w:cs="Calibri" w:eastAsia="Calibri" w:hAnsi="Calibri"/>
                <w:i/>
                <w:iCs/>
                <w:sz w:val="18"/>
                <w:szCs w:val="18"/>
              </w:rPr>
              <w:t xml:space="preserve">"Perfecto, lo registro y lo respeto. ¿Hay algún otro MP de los disponibles en tu plan que sí quieras explorar?"</w:t>
            </w:r>
          </w:p>
        </w:tc>
      </w:tr>
      <w:tr>
        <w:tc>
          <w:tcPr>
            <w:tcW w:type="dxa" w:w="3000"/>
            <w:tcBorders>
              <w:top w:val="single" w:color="CCCCCC" w:sz="1"/>
              <w:left w:val="single" w:color="CCCCCC" w:sz="1"/>
              <w:bottom w:val="single" w:color="CCCCCC" w:sz="1"/>
              <w:right w:val="single" w:color="CCCCCC" w:sz="1"/>
            </w:tcBorders>
            <w:shd w:fill="FFF3E0" w:val="clear"/>
            <w:tcMar>
              <w:top w:type="dxa" w:w="80"/>
              <w:left w:type="dxa" w:w="100"/>
              <w:bottom w:type="dxa" w:w="80"/>
              <w:right w:type="dxa" w:w="100"/>
            </w:tcMar>
          </w:tcPr>
          <w:p>
            <w:r>
              <w:rPr>
                <w:rFonts w:ascii="Calibri" w:cs="Calibri" w:eastAsia="Calibri" w:hAnsi="Calibri"/>
                <w:b/>
                <w:bCs/>
                <w:color w:val="8A4000"/>
                <w:sz w:val="18"/>
                <w:szCs w:val="18"/>
              </w:rPr>
              <w:t xml:space="preserve">No saben el valor que perderían</w:t>
            </w:r>
          </w:p>
        </w:tc>
        <w:tc>
          <w:tcPr>
            <w:tcW w:type="dxa" w:w="6360"/>
            <w:tcBorders>
              <w:top w:val="single" w:color="CCCCCC" w:sz="1"/>
              <w:left w:val="single" w:color="CCCCCC" w:sz="1"/>
              <w:bottom w:val="single" w:color="CCCCCC" w:sz="1"/>
              <w:right w:val="single" w:color="CCCCCC" w:sz="1"/>
            </w:tcBorders>
            <w:shd w:fill="FAFAFA" w:val="clear"/>
            <w:tcMar>
              <w:top w:type="dxa" w:w="80"/>
              <w:left w:type="dxa" w:w="100"/>
              <w:bottom w:type="dxa" w:w="80"/>
              <w:right w:type="dxa" w:w="100"/>
            </w:tcMar>
          </w:tcPr>
          <w:p>
            <w:r>
              <w:rPr>
                <w:rFonts w:ascii="Calibri" w:cs="Calibri" w:eastAsia="Calibri" w:hAnsi="Calibri"/>
                <w:i/>
                <w:iCs/>
                <w:sz w:val="18"/>
                <w:szCs w:val="18"/>
              </w:rPr>
              <w:t xml:space="preserve">"¿Te puedo mostrar cómo clientes de tu categoría en [país] están usando ese canal? Tengo datos de referencia que pueden ayudarte a decidir."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AA5500" w:sz="1"/>
              <w:left w:val="single" w:color="AA5500" w:sz="1"/>
              <w:bottom w:val="single" w:color="AA5500" w:sz="1"/>
              <w:right w:val="single" w:color="AA5500" w:sz="1"/>
            </w:tcBorders>
            <w:shd w:fill="AA5500" w:val="clear"/>
            <w:tcMar>
              <w:top w:type="dxa" w:w="120"/>
              <w:left w:type="dxa" w:w="100"/>
              <w:bottom w:type="dxa" w:w="120"/>
              <w:right w:type="dxa" w:w="100"/>
            </w:tcMar>
            <w:vAlign w:val="center"/>
          </w:tcPr>
          <w:p>
            <w:pPr>
              <w:jc w:val="center"/>
            </w:pPr>
            <w:r>
              <w:rPr>
                <w:rFonts w:ascii="Calibri" w:cs="Calibri" w:eastAsia="Calibri" w:hAnsi="Calibri"/>
                <w:b/>
                <w:bCs/>
                <w:color w:val="FFFFFF"/>
                <w:sz w:val="28"/>
                <w:szCs w:val="28"/>
              </w:rPr>
              <w:t xml:space="preserve">4</w:t>
            </w:r>
          </w:p>
        </w:tc>
        <w:tc>
          <w:tcPr>
            <w:tcW w:type="dxa" w:w="8560"/>
            <w:tcBorders>
              <w:top w:val="single" w:color="AA5500" w:sz="1"/>
              <w:left w:val="single" w:color="AA5500" w:sz="1"/>
              <w:bottom w:val="single" w:color="AA5500" w:sz="1"/>
              <w:right w:val="single" w:color="AA5500" w:sz="1"/>
            </w:tcBorders>
            <w:shd w:fill="FFF3E0" w:val="clear"/>
            <w:tcMar>
              <w:top w:type="dxa" w:w="100"/>
              <w:left w:type="dxa" w:w="160"/>
              <w:bottom w:type="dxa" w:w="100"/>
              <w:right w:type="dxa" w:w="160"/>
            </w:tcMar>
          </w:tcPr>
          <w:p>
            <w:r>
              <w:rPr>
                <w:rFonts w:ascii="Calibri" w:cs="Calibri" w:eastAsia="Calibri" w:hAnsi="Calibri"/>
                <w:b/>
                <w:bCs/>
                <w:color w:val="1A1A1A"/>
                <w:sz w:val="22"/>
                <w:szCs w:val="22"/>
              </w:rPr>
              <w:t xml:space="preserve">Priorizar — nunca ofrecer todos los MPs a la vez</w:t>
            </w:r>
          </w:p>
          <w:p>
            <w:pPr>
              <w:spacing w:before="40"/>
            </w:pPr>
            <w:r>
              <w:rPr>
                <w:rFonts w:ascii="Calibri" w:cs="Calibri" w:eastAsia="Calibri" w:hAnsi="Calibri"/>
                <w:color w:val="333333"/>
                <w:sz w:val="20"/>
                <w:szCs w:val="20"/>
              </w:rPr>
              <w:t xml:space="preserve">Ofrecer 1 marketplace a la vez. Criterio de selección: (1) ¿En cuál tiene catálogo listo? (2) ¿Cuál tiene mayor volumen en su categoría? (3) ¿Cuál es más fácil de activar técnicamente para su ERP/OMS?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AA5500" w:sz="1"/>
              <w:left w:val="single" w:color="AA5500" w:sz="1"/>
              <w:bottom w:val="single" w:color="AA5500" w:sz="1"/>
              <w:right w:val="single" w:color="AA5500" w:sz="1"/>
            </w:tcBorders>
            <w:shd w:fill="AA5500" w:val="clear"/>
            <w:tcMar>
              <w:top w:type="dxa" w:w="120"/>
              <w:left w:type="dxa" w:w="100"/>
              <w:bottom w:type="dxa" w:w="120"/>
              <w:right w:type="dxa" w:w="100"/>
            </w:tcMar>
            <w:vAlign w:val="center"/>
          </w:tcPr>
          <w:p>
            <w:pPr>
              <w:jc w:val="center"/>
            </w:pPr>
            <w:r>
              <w:rPr>
                <w:rFonts w:ascii="Calibri" w:cs="Calibri" w:eastAsia="Calibri" w:hAnsi="Calibri"/>
                <w:b/>
                <w:bCs/>
                <w:color w:val="FFFFFF"/>
                <w:sz w:val="28"/>
                <w:szCs w:val="28"/>
              </w:rPr>
              <w:t xml:space="preserve">5</w:t>
            </w:r>
          </w:p>
        </w:tc>
        <w:tc>
          <w:tcPr>
            <w:tcW w:type="dxa" w:w="8560"/>
            <w:tcBorders>
              <w:top w:val="single" w:color="AA5500" w:sz="1"/>
              <w:left w:val="single" w:color="AA5500" w:sz="1"/>
              <w:bottom w:val="single" w:color="AA5500" w:sz="1"/>
              <w:right w:val="single" w:color="AA5500" w:sz="1"/>
            </w:tcBorders>
            <w:shd w:fill="FFF3E0" w:val="clear"/>
            <w:tcMar>
              <w:top w:type="dxa" w:w="100"/>
              <w:left w:type="dxa" w:w="160"/>
              <w:bottom w:type="dxa" w:w="100"/>
              <w:right w:type="dxa" w:w="160"/>
            </w:tcMar>
          </w:tcPr>
          <w:p>
            <w:r>
              <w:rPr>
                <w:rFonts w:ascii="Calibri" w:cs="Calibri" w:eastAsia="Calibri" w:hAnsi="Calibri"/>
                <w:b/>
                <w:bCs/>
                <w:color w:val="1A1A1A"/>
                <w:sz w:val="22"/>
                <w:szCs w:val="22"/>
              </w:rPr>
              <w:t xml:space="preserve">Gestión del resultado y seguimiento</w:t>
            </w:r>
          </w:p>
          <w:p>
            <w:pPr>
              <w:spacing w:before="40"/>
            </w:pPr>
            <w:r>
              <w:rPr>
                <w:rFonts w:ascii="Calibri" w:cs="Calibri" w:eastAsia="Calibri" w:hAnsi="Calibri"/>
                <w:color w:val="333333"/>
                <w:sz w:val="20"/>
                <w:szCs w:val="20"/>
              </w:rPr>
              <w:t xml:space="preserve">Si activa: hacer seguimiento semanal hasta el primer pedido. Medir el incremento de GMV a los 30 días. Si no activa hoy: acordar fecha concreta (no dejar abierto sin fecha). Si decide no activar ninguno: documentar y reportar a Parcerias.</w:t>
            </w:r>
          </w:p>
        </w:tc>
      </w:tr>
    </w:tbl>
    <w:p>
      <w:pPr>
        <w:spacing w:after="60" w:before="60"/>
      </w:pPr>
      <w:r>
        <w:t xml:space="preserve"/>
      </w:r>
    </w:p>
    <w:p>
      <w:pPr>
        <w:pStyle w:val="Heading2"/>
        <w:spacing w:after="120" w:before="280"/>
      </w:pPr>
      <w:r>
        <w:rPr>
          <w:rFonts w:ascii="Calibri" w:cs="Calibri" w:eastAsia="Calibri" w:hAnsi="Calibri"/>
          <w:b/>
          <w:bCs/>
          <w:color w:val="1A56A0"/>
          <w:sz w:val="28"/>
          <w:szCs w:val="28"/>
        </w:rPr>
        <w:t xml:space="preserve">4.5 El caso de baja adopción en detalle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E8E8" w:val="clear"/>
            <w:tcMar>
              <w:top w:type="dxa" w:w="100"/>
              <w:left w:type="dxa" w:w="140"/>
              <w:bottom w:type="dxa" w:w="100"/>
              <w:right w:type="dxa" w:w="140"/>
            </w:tcMar>
          </w:tcPr>
          <w:p>
            <w:pPr>
              <w:jc w:val="center"/>
            </w:pPr>
            <w:r>
              <w:rPr>
                <w:rFonts w:ascii="Calibri" w:cs="Calibri" w:eastAsia="Calibri" w:hAnsi="Calibri"/>
                <w:b/>
                <w:bCs/>
                <w:color w:val="CC0000"/>
                <w:sz w:val="72"/>
                <w:szCs w:val="72"/>
              </w:rPr>
              <w:t xml:space="preserve">8</w:t>
            </w:r>
          </w:p>
          <w:p>
            <w:pPr>
              <w:jc w:val="center"/>
            </w:pPr>
            <w:r>
              <w:rPr>
                <w:rFonts w:ascii="Calibri" w:cs="Calibri" w:eastAsia="Calibri" w:hAnsi="Calibri"/>
                <w:color w:val="333333"/>
                <w:sz w:val="20"/>
                <w:szCs w:val="20"/>
              </w:rPr>
              <w:t xml:space="preserve">Marketplaces en el plan</w:t>
            </w:r>
          </w:p>
        </w:tc>
        <w:tc>
          <w:tcPr>
            <w:tcW w:type="dxa" w:w="4680"/>
            <w:tcBorders>
              <w:top w:val="single" w:color="CCCCCC" w:sz="1"/>
              <w:left w:val="single" w:color="CCCCCC" w:sz="1"/>
              <w:bottom w:val="single" w:color="CCCCCC" w:sz="1"/>
              <w:right w:val="single" w:color="CCCCCC" w:sz="1"/>
            </w:tcBorders>
            <w:shd w:fill="E8F5E8" w:val="clear"/>
            <w:tcMar>
              <w:top w:type="dxa" w:w="100"/>
              <w:left w:type="dxa" w:w="140"/>
              <w:bottom w:type="dxa" w:w="100"/>
              <w:right w:type="dxa" w:w="140"/>
            </w:tcMar>
          </w:tcPr>
          <w:p>
            <w:pPr>
              <w:jc w:val="center"/>
            </w:pPr>
            <w:r>
              <w:rPr>
                <w:rFonts w:ascii="Calibri" w:cs="Calibri" w:eastAsia="Calibri" w:hAnsi="Calibri"/>
                <w:b/>
                <w:bCs/>
                <w:color w:val="2A6A2A"/>
                <w:sz w:val="72"/>
                <w:szCs w:val="72"/>
              </w:rPr>
              <w:t xml:space="preserve">2</w:t>
            </w:r>
          </w:p>
          <w:p>
            <w:pPr>
              <w:jc w:val="center"/>
            </w:pPr>
            <w:r>
              <w:rPr>
                <w:rFonts w:ascii="Calibri" w:cs="Calibri" w:eastAsia="Calibri" w:hAnsi="Calibri"/>
                <w:color w:val="2A6A2A"/>
                <w:sz w:val="20"/>
                <w:szCs w:val="20"/>
              </w:rPr>
              <w:t xml:space="preserve">Activos → 6 sin explotar</w:t>
            </w:r>
          </w:p>
        </w:tc>
      </w:tr>
    </w:tbl>
    <w:p>
      <w:pPr>
        <w:spacing w:after="60" w:before="60"/>
      </w:pPr>
      <w:r>
        <w:t xml:space="preserve"/>
      </w:r>
    </w:p>
    <w:p>
      <w:pPr>
        <w:spacing w:after="80" w:before="200"/>
      </w:pPr>
      <w:r>
        <w:rPr>
          <w:rFonts w:ascii="Calibri" w:cs="Calibri" w:eastAsia="Calibri" w:hAnsi="Calibri"/>
          <w:b/>
          <w:bCs/>
          <w:color w:val="2A6A2A"/>
          <w:sz w:val="24"/>
          <w:szCs w:val="24"/>
        </w:rPr>
        <w:t xml:space="preserve">Principio fundamental de baja adopción</w:t>
      </w:r>
    </w:p>
    <w:p>
      <w:pPr>
        <w:spacing w:after="80" w:before="60"/>
      </w:pPr>
      <w:r>
        <w:rPr>
          <w:rFonts w:ascii="Calibri" w:cs="Calibri" w:eastAsia="Calibri" w:hAnsi="Calibri"/>
          <w:i/>
          <w:iCs/>
          <w:sz w:val="22"/>
          <w:szCs w:val="22"/>
        </w:rPr>
        <w:t xml:space="preserve">Un cliente con 8 MPs en el plan y solo 2 activos no necesariamente tiene un problema — puede ser una decisión estratégica consciente.</w:t>
      </w:r>
    </w:p>
    <w:p>
      <w:pPr>
        <w:spacing w:after="80" w:before="60"/>
      </w:pPr>
      <w:r>
        <w:rPr>
          <w:rFonts w:ascii="Calibri" w:cs="Calibri" w:eastAsia="Calibri" w:hAnsi="Calibri"/>
          <w:b/>
          <w:bCs/>
          <w:sz w:val="22"/>
          <w:szCs w:val="22"/>
        </w:rPr>
        <w:t xml:space="preserve">Lo que SÍ es un problema es un cliente que tiene 8 MPs, usa 2, y no sabe por qué no usa los otros 6.</w:t>
      </w:r>
    </w:p>
    <w:p>
      <w:pPr>
        <w:spacing w:after="80" w:before="60"/>
      </w:pPr>
      <w:r>
        <w:rPr>
          <w:rFonts w:ascii="Calibri" w:cs="Calibri" w:eastAsia="Calibri" w:hAnsi="Calibri"/>
          <w:sz w:val="22"/>
          <w:szCs w:val="22"/>
        </w:rPr>
        <w:t xml:space="preserve">El trabajo del CSM no es forzar la activación — es asegurarse de que la decisión fue consciente. Si fue consciente: documentar y respetar. Si no lo fue: ejecutar el flujo de expansión.</w:t>
      </w:r>
    </w:p>
    <w:p>
      <w:pPr>
        <w:spacing w:after="60" w:before="60"/>
      </w:pPr>
      <w:r>
        <w:t xml:space="preserve"/>
      </w:r>
    </w:p>
    <w:p>
      <w:r>
        <w:br w:type="page"/>
      </w:r>
    </w:p>
    <w:p>
      <w:pPr>
        <w:pStyle w:val="Heading1"/>
        <w:spacing w:after="180" w:before="360"/>
      </w:pPr>
      <w:r>
        <w:rPr>
          <w:rFonts w:ascii="Calibri" w:cs="Calibri" w:eastAsia="Calibri" w:hAnsi="Calibri"/>
          <w:b/>
          <w:bCs/>
          <w:color w:val="1A3A6A"/>
          <w:sz w:val="36"/>
          <w:szCs w:val="36"/>
        </w:rPr>
        <w:t xml:space="preserve">5. Matriz de decisión — ¿Qué flujo usar?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0"/>
            <w:tcBorders>
              <w:top w:val="single" w:color="CCCCCC" w:sz="1"/>
              <w:left w:val="single" w:color="CCCCCC" w:sz="1"/>
              <w:bottom w:val="single" w:color="CCCCCC" w:sz="1"/>
              <w:right w:val="single" w:color="CCCCCC" w:sz="1"/>
            </w:tcBorders>
            <w:shd w:fill="1A3A6A" w:val="clear"/>
            <w:tcMar>
              <w:top w:type="dxa" w:w="80"/>
              <w:left w:type="dxa" w:w="100"/>
              <w:bottom w:type="dxa" w:w="80"/>
              <w:right w:type="dxa" w:w="100"/>
            </w:tcMar>
          </w:tcPr>
          <w:p>
            <w:r>
              <w:rPr>
                <w:rFonts w:ascii="Calibri" w:cs="Calibri" w:eastAsia="Calibri" w:hAnsi="Calibri"/>
                <w:b/>
                <w:bCs/>
                <w:color w:val="FFFFFF"/>
                <w:sz w:val="18"/>
                <w:szCs w:val="18"/>
              </w:rPr>
              <w:t xml:space="preserve">Situación del cliente</w:t>
            </w:r>
          </w:p>
        </w:tc>
        <w:tc>
          <w:tcPr>
            <w:tcW w:type="dxa" w:w="0"/>
            <w:tcBorders>
              <w:top w:val="single" w:color="CCCCCC" w:sz="1"/>
              <w:left w:val="single" w:color="CCCCCC" w:sz="1"/>
              <w:bottom w:val="single" w:color="CCCCCC" w:sz="1"/>
              <w:right w:val="single" w:color="CCCCCC" w:sz="1"/>
            </w:tcBorders>
            <w:shd w:fill="1A3A6A" w:val="clear"/>
            <w:tcMar>
              <w:top w:type="dxa" w:w="80"/>
              <w:left w:type="dxa" w:w="100"/>
              <w:bottom w:type="dxa" w:w="80"/>
              <w:right w:type="dxa" w:w="100"/>
            </w:tcMar>
          </w:tcPr>
          <w:p>
            <w:r>
              <w:rPr>
                <w:rFonts w:ascii="Calibri" w:cs="Calibri" w:eastAsia="Calibri" w:hAnsi="Calibri"/>
                <w:b/>
                <w:bCs/>
                <w:color w:val="FFFFFF"/>
                <w:sz w:val="18"/>
                <w:szCs w:val="18"/>
              </w:rPr>
              <w:t xml:space="preserve">Cross-Selling</w:t>
            </w:r>
          </w:p>
        </w:tc>
        <w:tc>
          <w:tcPr>
            <w:tcW w:type="dxa" w:w="0"/>
            <w:tcBorders>
              <w:top w:val="single" w:color="CCCCCC" w:sz="1"/>
              <w:left w:val="single" w:color="CCCCCC" w:sz="1"/>
              <w:bottom w:val="single" w:color="CCCCCC" w:sz="1"/>
              <w:right w:val="single" w:color="CCCCCC" w:sz="1"/>
            </w:tcBorders>
            <w:shd w:fill="1A3A6A" w:val="clear"/>
            <w:tcMar>
              <w:top w:type="dxa" w:w="80"/>
              <w:left w:type="dxa" w:w="100"/>
              <w:bottom w:type="dxa" w:w="80"/>
              <w:right w:type="dxa" w:w="100"/>
            </w:tcMar>
          </w:tcPr>
          <w:p>
            <w:r>
              <w:rPr>
                <w:rFonts w:ascii="Calibri" w:cs="Calibri" w:eastAsia="Calibri" w:hAnsi="Calibri"/>
                <w:b/>
                <w:bCs/>
                <w:color w:val="FFFFFF"/>
                <w:sz w:val="18"/>
                <w:szCs w:val="18"/>
              </w:rPr>
              <w:t xml:space="preserve">Up-Selling</w:t>
            </w:r>
          </w:p>
        </w:tc>
        <w:tc>
          <w:tcPr>
            <w:tcW w:type="dxa" w:w="0"/>
            <w:tcBorders>
              <w:top w:val="single" w:color="CCCCCC" w:sz="1"/>
              <w:left w:val="single" w:color="CCCCCC" w:sz="1"/>
              <w:bottom w:val="single" w:color="CCCCCC" w:sz="1"/>
              <w:right w:val="single" w:color="CCCCCC" w:sz="1"/>
            </w:tcBorders>
            <w:shd w:fill="1A3A6A" w:val="clear"/>
            <w:tcMar>
              <w:top w:type="dxa" w:w="80"/>
              <w:left w:type="dxa" w:w="100"/>
              <w:bottom w:type="dxa" w:w="80"/>
              <w:right w:type="dxa" w:w="100"/>
            </w:tcMar>
          </w:tcPr>
          <w:p>
            <w:r>
              <w:rPr>
                <w:rFonts w:ascii="Calibri" w:cs="Calibri" w:eastAsia="Calibri" w:hAnsi="Calibri"/>
                <w:b/>
                <w:bCs/>
                <w:color w:val="FFFFFF"/>
                <w:sz w:val="18"/>
                <w:szCs w:val="18"/>
              </w:rPr>
              <w:t xml:space="preserve">Parcerias</w:t>
            </w:r>
          </w:p>
        </w:tc>
      </w:tr>
      <w:tr>
        <w:tc>
          <w:tcPr>
            <w:tcW w:type="dxa" w:w="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alibri" w:cs="Calibri" w:eastAsia="Calibri" w:hAnsi="Calibri"/>
                <w:b w:val="false"/>
                <w:bCs w:val="false"/>
                <w:sz w:val="18"/>
                <w:szCs w:val="18"/>
              </w:rPr>
              <w:t xml:space="preserve">Menciona problema que AnyMarket no resuelve</w:t>
            </w:r>
          </w:p>
        </w:tc>
        <w:tc>
          <w:tcPr>
            <w:tcW w:type="dxa" w:w="0"/>
            <w:tcBorders>
              <w:top w:val="single" w:color="CCCCCC" w:sz="1"/>
              <w:left w:val="single" w:color="CCCCCC" w:sz="1"/>
              <w:bottom w:val="single" w:color="CCCCCC" w:sz="1"/>
              <w:right w:val="single" w:color="CCCCCC" w:sz="1"/>
            </w:tcBorders>
            <w:shd w:fill="E8F5E8" w:val="clear"/>
            <w:tcMar>
              <w:top w:type="dxa" w:w="60"/>
              <w:left w:type="dxa" w:w="100"/>
              <w:bottom w:type="dxa" w:w="60"/>
              <w:right w:type="dxa" w:w="100"/>
            </w:tcMar>
          </w:tcPr>
          <w:p>
            <w:r>
              <w:rPr>
                <w:rFonts w:ascii="Calibri" w:cs="Calibri" w:eastAsia="Calibri" w:hAnsi="Calibri"/>
                <w:b/>
                <w:bCs/>
                <w:sz w:val="18"/>
                <w:szCs w:val="18"/>
              </w:rPr>
              <w:t xml:space="preserve">✅ Sí</w:t>
            </w:r>
          </w:p>
        </w:tc>
        <w:tc>
          <w:tcPr>
            <w:tcW w:type="dxa" w:w="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alibri" w:cs="Calibri" w:eastAsia="Calibri" w:hAnsi="Calibri"/>
                <w:b w:val="false"/>
                <w:bCs w:val="false"/>
                <w:sz w:val="18"/>
                <w:szCs w:val="18"/>
              </w:rPr>
              <w:t xml:space="preserve">—</w:t>
            </w:r>
          </w:p>
        </w:tc>
        <w:tc>
          <w:tcPr>
            <w:tcW w:type="dxa" w:w="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alibri" w:cs="Calibri" w:eastAsia="Calibri" w:hAnsi="Calibri"/>
                <w:b w:val="false"/>
                <w:bCs w:val="false"/>
                <w:sz w:val="18"/>
                <w:szCs w:val="18"/>
              </w:rPr>
              <w:t xml:space="preserve">—</w:t>
            </w:r>
          </w:p>
        </w:tc>
      </w:tr>
      <w:tr>
        <w:tc>
          <w:tcPr>
            <w:tcW w:type="dxa" w:w="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alibri" w:cs="Calibri" w:eastAsia="Calibri" w:hAnsi="Calibri"/>
                <w:b w:val="false"/>
                <w:bCs w:val="false"/>
                <w:sz w:val="18"/>
                <w:szCs w:val="18"/>
              </w:rPr>
              <w:t xml:space="preserve">Usa menos del 50% de Use Points</w:t>
            </w:r>
          </w:p>
        </w:tc>
        <w:tc>
          <w:tcPr>
            <w:tcW w:type="dxa" w:w="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alibri" w:cs="Calibri" w:eastAsia="Calibri" w:hAnsi="Calibri"/>
                <w:b w:val="false"/>
                <w:bCs w:val="false"/>
                <w:sz w:val="18"/>
                <w:szCs w:val="18"/>
              </w:rPr>
              <w:t xml:space="preserve">—</w:t>
            </w:r>
          </w:p>
        </w:tc>
        <w:tc>
          <w:tcPr>
            <w:tcW w:type="dxa" w:w="0"/>
            <w:tcBorders>
              <w:top w:val="single" w:color="CCCCCC" w:sz="1"/>
              <w:left w:val="single" w:color="CCCCCC" w:sz="1"/>
              <w:bottom w:val="single" w:color="CCCCCC" w:sz="1"/>
              <w:right w:val="single" w:color="CCCCCC" w:sz="1"/>
            </w:tcBorders>
            <w:shd w:fill="E8F5E8" w:val="clear"/>
            <w:tcMar>
              <w:top w:type="dxa" w:w="60"/>
              <w:left w:type="dxa" w:w="100"/>
              <w:bottom w:type="dxa" w:w="60"/>
              <w:right w:type="dxa" w:w="100"/>
            </w:tcMar>
          </w:tcPr>
          <w:p>
            <w:r>
              <w:rPr>
                <w:rFonts w:ascii="Calibri" w:cs="Calibri" w:eastAsia="Calibri" w:hAnsi="Calibri"/>
                <w:b/>
                <w:bCs/>
                <w:sz w:val="18"/>
                <w:szCs w:val="18"/>
              </w:rPr>
              <w:t xml:space="preserve">✅ Sí</w:t>
            </w:r>
          </w:p>
        </w:tc>
        <w:tc>
          <w:tcPr>
            <w:tcW w:type="dxa" w:w="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alibri" w:cs="Calibri" w:eastAsia="Calibri" w:hAnsi="Calibri"/>
                <w:b w:val="false"/>
                <w:bCs w:val="false"/>
                <w:sz w:val="18"/>
                <w:szCs w:val="18"/>
              </w:rPr>
              <w:t xml:space="preserve">—</w:t>
            </w:r>
          </w:p>
        </w:tc>
      </w:tr>
      <w:tr>
        <w:tc>
          <w:tcPr>
            <w:tcW w:type="dxa" w:w="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alibri" w:cs="Calibri" w:eastAsia="Calibri" w:hAnsi="Calibri"/>
                <w:b w:val="false"/>
                <w:bCs w:val="false"/>
                <w:sz w:val="18"/>
                <w:szCs w:val="18"/>
              </w:rPr>
              <w:t xml:space="preserve">Plan 8 MPs, usa solo 2</w:t>
            </w:r>
          </w:p>
        </w:tc>
        <w:tc>
          <w:tcPr>
            <w:tcW w:type="dxa" w:w="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alibri" w:cs="Calibri" w:eastAsia="Calibri" w:hAnsi="Calibri"/>
                <w:b w:val="false"/>
                <w:bCs w:val="false"/>
                <w:sz w:val="18"/>
                <w:szCs w:val="18"/>
              </w:rPr>
              <w:t xml:space="preserve">—</w:t>
            </w:r>
          </w:p>
        </w:tc>
        <w:tc>
          <w:tcPr>
            <w:tcW w:type="dxa" w:w="0"/>
            <w:tcBorders>
              <w:top w:val="single" w:color="CCCCCC" w:sz="1"/>
              <w:left w:val="single" w:color="CCCCCC" w:sz="1"/>
              <w:bottom w:val="single" w:color="CCCCCC" w:sz="1"/>
              <w:right w:val="single" w:color="CCCCCC" w:sz="1"/>
            </w:tcBorders>
            <w:shd w:fill="E8F5E8" w:val="clear"/>
            <w:tcMar>
              <w:top w:type="dxa" w:w="60"/>
              <w:left w:type="dxa" w:w="100"/>
              <w:bottom w:type="dxa" w:w="60"/>
              <w:right w:type="dxa" w:w="100"/>
            </w:tcMar>
          </w:tcPr>
          <w:p>
            <w:r>
              <w:rPr>
                <w:rFonts w:ascii="Calibri" w:cs="Calibri" w:eastAsia="Calibri" w:hAnsi="Calibri"/>
                <w:b/>
                <w:bCs/>
                <w:sz w:val="18"/>
                <w:szCs w:val="18"/>
              </w:rPr>
              <w:t xml:space="preserve">✅ Sí</w:t>
            </w:r>
          </w:p>
        </w:tc>
        <w:tc>
          <w:tcPr>
            <w:tcW w:type="dxa" w:w="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Calibri" w:cs="Calibri" w:eastAsia="Calibri" w:hAnsi="Calibri"/>
                <w:b/>
                <w:bCs/>
                <w:sz w:val="18"/>
                <w:szCs w:val="18"/>
              </w:rPr>
              <w:t xml:space="preserve">🔸 Si viene de MP</w:t>
            </w:r>
          </w:p>
        </w:tc>
      </w:tr>
      <w:tr>
        <w:tc>
          <w:tcPr>
            <w:tcW w:type="dxa" w:w="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alibri" w:cs="Calibri" w:eastAsia="Calibri" w:hAnsi="Calibri"/>
                <w:b w:val="false"/>
                <w:bCs w:val="false"/>
                <w:sz w:val="18"/>
                <w:szCs w:val="18"/>
              </w:rPr>
              <w:t xml:space="preserve">Marketplace identifica al cliente como sin integración en ese canal</w:t>
            </w:r>
          </w:p>
        </w:tc>
        <w:tc>
          <w:tcPr>
            <w:tcW w:type="dxa" w:w="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alibri" w:cs="Calibri" w:eastAsia="Calibri" w:hAnsi="Calibri"/>
                <w:b w:val="false"/>
                <w:bCs w:val="false"/>
                <w:sz w:val="18"/>
                <w:szCs w:val="18"/>
              </w:rPr>
              <w:t xml:space="preserve">—</w:t>
            </w:r>
          </w:p>
        </w:tc>
        <w:tc>
          <w:tcPr>
            <w:tcW w:type="dxa" w:w="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alibri" w:cs="Calibri" w:eastAsia="Calibri" w:hAnsi="Calibri"/>
                <w:b w:val="false"/>
                <w:bCs w:val="false"/>
                <w:sz w:val="18"/>
                <w:szCs w:val="18"/>
              </w:rPr>
              <w:t xml:space="preserve">—</w:t>
            </w:r>
          </w:p>
        </w:tc>
        <w:tc>
          <w:tcPr>
            <w:tcW w:type="dxa" w:w="0"/>
            <w:tcBorders>
              <w:top w:val="single" w:color="CCCCCC" w:sz="1"/>
              <w:left w:val="single" w:color="CCCCCC" w:sz="1"/>
              <w:bottom w:val="single" w:color="CCCCCC" w:sz="1"/>
              <w:right w:val="single" w:color="CCCCCC" w:sz="1"/>
            </w:tcBorders>
            <w:shd w:fill="E8F5E8" w:val="clear"/>
            <w:tcMar>
              <w:top w:type="dxa" w:w="60"/>
              <w:left w:type="dxa" w:w="100"/>
              <w:bottom w:type="dxa" w:w="60"/>
              <w:right w:type="dxa" w:w="100"/>
            </w:tcMar>
          </w:tcPr>
          <w:p>
            <w:r>
              <w:rPr>
                <w:rFonts w:ascii="Calibri" w:cs="Calibri" w:eastAsia="Calibri" w:hAnsi="Calibri"/>
                <w:b/>
                <w:bCs/>
                <w:sz w:val="18"/>
                <w:szCs w:val="18"/>
              </w:rPr>
              <w:t xml:space="preserve">✅ Sí (Farming)</w:t>
            </w:r>
          </w:p>
        </w:tc>
      </w:tr>
      <w:tr>
        <w:tc>
          <w:tcPr>
            <w:tcW w:type="dxa" w:w="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alibri" w:cs="Calibri" w:eastAsia="Calibri" w:hAnsi="Calibri"/>
                <w:b w:val="false"/>
                <w:bCs w:val="false"/>
                <w:sz w:val="18"/>
                <w:szCs w:val="18"/>
              </w:rPr>
              <w:t xml:space="preserve">Seller sin AnyMarket identificado por marketplace</w:t>
            </w:r>
          </w:p>
        </w:tc>
        <w:tc>
          <w:tcPr>
            <w:tcW w:type="dxa" w:w="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alibri" w:cs="Calibri" w:eastAsia="Calibri" w:hAnsi="Calibri"/>
                <w:b w:val="false"/>
                <w:bCs w:val="false"/>
                <w:sz w:val="18"/>
                <w:szCs w:val="18"/>
              </w:rPr>
              <w:t xml:space="preserve">—</w:t>
            </w:r>
          </w:p>
        </w:tc>
        <w:tc>
          <w:tcPr>
            <w:tcW w:type="dxa" w:w="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alibri" w:cs="Calibri" w:eastAsia="Calibri" w:hAnsi="Calibri"/>
                <w:b w:val="false"/>
                <w:bCs w:val="false"/>
                <w:sz w:val="18"/>
                <w:szCs w:val="18"/>
              </w:rPr>
              <w:t xml:space="preserve">—</w:t>
            </w:r>
          </w:p>
        </w:tc>
        <w:tc>
          <w:tcPr>
            <w:tcW w:type="dxa" w:w="0"/>
            <w:tcBorders>
              <w:top w:val="single" w:color="CCCCCC" w:sz="1"/>
              <w:left w:val="single" w:color="CCCCCC" w:sz="1"/>
              <w:bottom w:val="single" w:color="CCCCCC" w:sz="1"/>
              <w:right w:val="single" w:color="CCCCCC" w:sz="1"/>
            </w:tcBorders>
            <w:shd w:fill="E8F5E8" w:val="clear"/>
            <w:tcMar>
              <w:top w:type="dxa" w:w="60"/>
              <w:left w:type="dxa" w:w="100"/>
              <w:bottom w:type="dxa" w:w="60"/>
              <w:right w:type="dxa" w:w="100"/>
            </w:tcMar>
          </w:tcPr>
          <w:p>
            <w:r>
              <w:rPr>
                <w:rFonts w:ascii="Calibri" w:cs="Calibri" w:eastAsia="Calibri" w:hAnsi="Calibri"/>
                <w:b/>
                <w:bCs/>
                <w:sz w:val="18"/>
                <w:szCs w:val="18"/>
              </w:rPr>
              <w:t xml:space="preserve">✅ Sí (Hunting)</w:t>
            </w:r>
          </w:p>
        </w:tc>
      </w:tr>
      <w:tr>
        <w:tc>
          <w:tcPr>
            <w:tcW w:type="dxa" w:w="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alibri" w:cs="Calibri" w:eastAsia="Calibri" w:hAnsi="Calibri"/>
                <w:b w:val="false"/>
                <w:bCs w:val="false"/>
                <w:sz w:val="18"/>
                <w:szCs w:val="18"/>
              </w:rPr>
              <w:t xml:space="preserve">Precios no competitivos / pierde BuyBox frecuente</w:t>
            </w:r>
          </w:p>
        </w:tc>
        <w:tc>
          <w:tcPr>
            <w:tcW w:type="dxa" w:w="0"/>
            <w:tcBorders>
              <w:top w:val="single" w:color="CCCCCC" w:sz="1"/>
              <w:left w:val="single" w:color="CCCCCC" w:sz="1"/>
              <w:bottom w:val="single" w:color="CCCCCC" w:sz="1"/>
              <w:right w:val="single" w:color="CCCCCC" w:sz="1"/>
            </w:tcBorders>
            <w:shd w:fill="E8F5E8" w:val="clear"/>
            <w:tcMar>
              <w:top w:type="dxa" w:w="60"/>
              <w:left w:type="dxa" w:w="100"/>
              <w:bottom w:type="dxa" w:w="60"/>
              <w:right w:type="dxa" w:w="100"/>
            </w:tcMar>
          </w:tcPr>
          <w:p>
            <w:r>
              <w:rPr>
                <w:rFonts w:ascii="Calibri" w:cs="Calibri" w:eastAsia="Calibri" w:hAnsi="Calibri"/>
                <w:b/>
                <w:bCs/>
                <w:sz w:val="18"/>
                <w:szCs w:val="18"/>
              </w:rPr>
              <w:t xml:space="preserve">✅ Predize</w:t>
            </w:r>
          </w:p>
        </w:tc>
        <w:tc>
          <w:tcPr>
            <w:tcW w:type="dxa" w:w="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alibri" w:cs="Calibri" w:eastAsia="Calibri" w:hAnsi="Calibri"/>
                <w:b w:val="false"/>
                <w:bCs w:val="false"/>
                <w:sz w:val="18"/>
                <w:szCs w:val="18"/>
              </w:rPr>
              <w:t xml:space="preserve">—</w:t>
            </w:r>
          </w:p>
        </w:tc>
        <w:tc>
          <w:tcPr>
            <w:tcW w:type="dxa" w:w="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alibri" w:cs="Calibri" w:eastAsia="Calibri" w:hAnsi="Calibri"/>
                <w:b w:val="false"/>
                <w:bCs w:val="false"/>
                <w:sz w:val="18"/>
                <w:szCs w:val="18"/>
              </w:rPr>
              <w:t xml:space="preserve">—</w:t>
            </w:r>
          </w:p>
        </w:tc>
      </w:tr>
      <w:tr>
        <w:tc>
          <w:tcPr>
            <w:tcW w:type="dxa" w:w="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alibri" w:cs="Calibri" w:eastAsia="Calibri" w:hAnsi="Calibri"/>
                <w:b w:val="false"/>
                <w:bCs w:val="false"/>
                <w:sz w:val="18"/>
                <w:szCs w:val="18"/>
              </w:rPr>
              <w:t xml:space="preserve">Errores de conciliación financiera con MP</w:t>
            </w:r>
          </w:p>
        </w:tc>
        <w:tc>
          <w:tcPr>
            <w:tcW w:type="dxa" w:w="0"/>
            <w:tcBorders>
              <w:top w:val="single" w:color="CCCCCC" w:sz="1"/>
              <w:left w:val="single" w:color="CCCCCC" w:sz="1"/>
              <w:bottom w:val="single" w:color="CCCCCC" w:sz="1"/>
              <w:right w:val="single" w:color="CCCCCC" w:sz="1"/>
            </w:tcBorders>
            <w:shd w:fill="E8F5E8" w:val="clear"/>
            <w:tcMar>
              <w:top w:type="dxa" w:w="60"/>
              <w:left w:type="dxa" w:w="100"/>
              <w:bottom w:type="dxa" w:w="60"/>
              <w:right w:type="dxa" w:w="100"/>
            </w:tcMar>
          </w:tcPr>
          <w:p>
            <w:r>
              <w:rPr>
                <w:rFonts w:ascii="Calibri" w:cs="Calibri" w:eastAsia="Calibri" w:hAnsi="Calibri"/>
                <w:b/>
                <w:bCs/>
                <w:sz w:val="18"/>
                <w:szCs w:val="18"/>
              </w:rPr>
              <w:t xml:space="preserve">✅ Koncili</w:t>
            </w:r>
          </w:p>
        </w:tc>
        <w:tc>
          <w:tcPr>
            <w:tcW w:type="dxa" w:w="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alibri" w:cs="Calibri" w:eastAsia="Calibri" w:hAnsi="Calibri"/>
                <w:b w:val="false"/>
                <w:bCs w:val="false"/>
                <w:sz w:val="18"/>
                <w:szCs w:val="18"/>
              </w:rPr>
              <w:t xml:space="preserve">—</w:t>
            </w:r>
          </w:p>
        </w:tc>
        <w:tc>
          <w:tcPr>
            <w:tcW w:type="dxa" w:w="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alibri" w:cs="Calibri" w:eastAsia="Calibri" w:hAnsi="Calibri"/>
                <w:b w:val="false"/>
                <w:bCs w:val="false"/>
                <w:sz w:val="18"/>
                <w:szCs w:val="18"/>
              </w:rPr>
              <w:t xml:space="preserve">—</w:t>
            </w:r>
          </w:p>
        </w:tc>
      </w:tr>
      <w:tr>
        <w:tc>
          <w:tcPr>
            <w:tcW w:type="dxa" w:w="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r>
              <w:rPr>
                <w:rFonts w:ascii="Calibri" w:cs="Calibri" w:eastAsia="Calibri" w:hAnsi="Calibri"/>
                <w:b w:val="false"/>
                <w:bCs w:val="false"/>
                <w:sz w:val="18"/>
                <w:szCs w:val="18"/>
              </w:rPr>
              <w:t xml:space="preserve">Quiere visibilidad de performance por canal</w:t>
            </w:r>
          </w:p>
        </w:tc>
        <w:tc>
          <w:tcPr>
            <w:tcW w:type="dxa" w:w="0"/>
            <w:tcBorders>
              <w:top w:val="single" w:color="CCCCCC" w:sz="1"/>
              <w:left w:val="single" w:color="CCCCCC" w:sz="1"/>
              <w:bottom w:val="single" w:color="CCCCCC" w:sz="1"/>
              <w:right w:val="single" w:color="CCCCCC" w:sz="1"/>
            </w:tcBorders>
            <w:shd w:fill="E8F5E8" w:val="clear"/>
            <w:tcMar>
              <w:top w:type="dxa" w:w="60"/>
              <w:left w:type="dxa" w:w="100"/>
              <w:bottom w:type="dxa" w:w="60"/>
              <w:right w:type="dxa" w:w="100"/>
            </w:tcMar>
          </w:tcPr>
          <w:p>
            <w:r>
              <w:rPr>
                <w:rFonts w:ascii="Calibri" w:cs="Calibri" w:eastAsia="Calibri" w:hAnsi="Calibri"/>
                <w:b/>
                <w:bCs/>
                <w:sz w:val="18"/>
                <w:szCs w:val="18"/>
              </w:rPr>
              <w:t xml:space="preserve">✅ WinnerBox</w:t>
            </w:r>
          </w:p>
        </w:tc>
        <w:tc>
          <w:tcPr>
            <w:tcW w:type="dxa" w:w="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alibri" w:cs="Calibri" w:eastAsia="Calibri" w:hAnsi="Calibri"/>
                <w:b w:val="false"/>
                <w:bCs w:val="false"/>
                <w:sz w:val="18"/>
                <w:szCs w:val="18"/>
              </w:rPr>
              <w:t xml:space="preserve">—</w:t>
            </w:r>
          </w:p>
        </w:tc>
        <w:tc>
          <w:tcPr>
            <w:tcW w:type="dxa" w:w="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alibri" w:cs="Calibri" w:eastAsia="Calibri" w:hAnsi="Calibri"/>
                <w:b w:val="false"/>
                <w:bCs w:val="false"/>
                <w:sz w:val="18"/>
                <w:szCs w:val="18"/>
              </w:rPr>
              <w:t xml:space="preserve">—</w:t>
            </w:r>
          </w:p>
        </w:tc>
      </w:tr>
    </w:tbl>
    <w:p>
      <w:pPr>
        <w:spacing w:after="60" w:before="60"/>
      </w:pPr>
      <w:r>
        <w:t xml:space="preserve"/>
      </w:r>
    </w:p>
    <w:p>
      <w:r>
        <w:br w:type="page"/>
      </w:r>
    </w:p>
    <w:p>
      <w:pPr>
        <w:pStyle w:val="Heading1"/>
        <w:spacing w:after="180" w:before="360"/>
      </w:pPr>
      <w:r>
        <w:rPr>
          <w:rFonts w:ascii="Calibri" w:cs="Calibri" w:eastAsia="Calibri" w:hAnsi="Calibri"/>
          <w:b/>
          <w:bCs/>
          <w:color w:val="1A3A6A"/>
          <w:sz w:val="36"/>
          <w:szCs w:val="36"/>
        </w:rPr>
        <w:t xml:space="preserve">6. Reglas generales de Revenue Expansion</w:t>
      </w:r>
    </w:p>
    <w:p>
      <w:pPr>
        <w:spacing w:after="60" w:before="60"/>
      </w:pPr>
      <w:r>
        <w:t xml:space="preserve"/>
      </w:r>
    </w:p>
    <w:p>
      <w:pPr>
        <w:pStyle w:val="ListParagraph"/>
        <w:numPr>
          <w:ilvl w:val="0"/>
          <w:numId w:val="2"/>
        </w:numPr>
        <w:spacing w:after="40" w:before="40"/>
      </w:pPr>
      <w:r>
        <w:rPr>
          <w:rFonts w:ascii="Calibri" w:cs="Calibri" w:eastAsia="Calibri" w:hAnsi="Calibri"/>
          <w:b/>
          <w:bCs/>
          <w:sz w:val="22"/>
          <w:szCs w:val="22"/>
        </w:rPr>
        <w:t xml:space="preserve">Verificar siempre el Health Score antes de proponer expansión. Cliente con HS &lt; 60 no es candidato.</w:t>
      </w:r>
    </w:p>
    <w:p>
      <w:pPr>
        <w:pStyle w:val="ListParagraph"/>
        <w:numPr>
          <w:ilvl w:val="1"/>
          <w:numId w:val="3"/>
        </w:numPr>
        <w:spacing w:after="20" w:before="20"/>
      </w:pPr>
      <w:r>
        <w:rPr>
          <w:rFonts w:ascii="Calibri" w:cs="Calibri" w:eastAsia="Calibri" w:hAnsi="Calibri"/>
          <w:sz w:val="20"/>
          <w:szCs w:val="20"/>
        </w:rPr>
        <w:t xml:space="preserve">Priorizar estabilizar la operación antes de hablar de crecimiento.</w:t>
      </w:r>
    </w:p>
    <w:p>
      <w:pPr>
        <w:pStyle w:val="ListParagraph"/>
        <w:numPr>
          <w:ilvl w:val="0"/>
          <w:numId w:val="2"/>
        </w:numPr>
        <w:spacing w:after="40" w:before="40"/>
      </w:pPr>
      <w:r>
        <w:rPr>
          <w:rFonts w:ascii="Calibri" w:cs="Calibri" w:eastAsia="Calibri" w:hAnsi="Calibri"/>
          <w:b/>
          <w:bCs/>
          <w:sz w:val="22"/>
          <w:szCs w:val="22"/>
        </w:rPr>
        <w:t xml:space="preserve">Nunca inventar datos. Toda propuesta de expansión debe basarse en datos reales de AnyMarket, Zendesk, Power BI o TrackSale.</w:t>
      </w:r>
    </w:p>
    <w:p>
      <w:pPr>
        <w:pStyle w:val="ListParagraph"/>
        <w:numPr>
          <w:ilvl w:val="1"/>
          <w:numId w:val="3"/>
        </w:numPr>
        <w:spacing w:after="20" w:before="20"/>
      </w:pPr>
      <w:r>
        <w:rPr>
          <w:rFonts w:ascii="Calibri" w:cs="Calibri" w:eastAsia="Calibri" w:hAnsi="Calibri"/>
          <w:sz w:val="20"/>
          <w:szCs w:val="20"/>
        </w:rPr>
        <w:t xml:space="preserve">Si el dato no está disponible: indicar qué dato falta y de dónde obtenerlo.</w:t>
      </w:r>
    </w:p>
    <w:p>
      <w:pPr>
        <w:pStyle w:val="ListParagraph"/>
        <w:numPr>
          <w:ilvl w:val="0"/>
          <w:numId w:val="2"/>
        </w:numPr>
        <w:spacing w:after="40" w:before="40"/>
      </w:pPr>
      <w:r>
        <w:rPr>
          <w:rFonts w:ascii="Calibri" w:cs="Calibri" w:eastAsia="Calibri" w:hAnsi="Calibri"/>
          <w:b/>
          <w:bCs/>
          <w:sz w:val="22"/>
          <w:szCs w:val="22"/>
        </w:rPr>
        <w:t xml:space="preserve">Documentar todos los rechazos. Un 'no' bien documentado tiene más valor que un 'sí' sin contexto.</w:t>
      </w:r>
    </w:p>
    <w:p>
      <w:pPr>
        <w:pStyle w:val="ListParagraph"/>
        <w:numPr>
          <w:ilvl w:val="1"/>
          <w:numId w:val="3"/>
        </w:numPr>
        <w:spacing w:after="20" w:before="20"/>
      </w:pPr>
      <w:r>
        <w:rPr>
          <w:rFonts w:ascii="Calibri" w:cs="Calibri" w:eastAsia="Calibri" w:hAnsi="Calibri"/>
          <w:sz w:val="20"/>
          <w:szCs w:val="20"/>
        </w:rPr>
        <w:t xml:space="preserve">Reportar patrones de rechazo a Parcerias y Producto mensualmente.</w:t>
      </w:r>
    </w:p>
    <w:p>
      <w:pPr>
        <w:pStyle w:val="ListParagraph"/>
        <w:numPr>
          <w:ilvl w:val="0"/>
          <w:numId w:val="2"/>
        </w:numPr>
        <w:spacing w:after="40" w:before="40"/>
      </w:pPr>
      <w:r>
        <w:rPr>
          <w:rFonts w:ascii="Calibri" w:cs="Calibri" w:eastAsia="Calibri" w:hAnsi="Calibri"/>
          <w:b/>
          <w:bCs/>
          <w:sz w:val="22"/>
          <w:szCs w:val="22"/>
        </w:rPr>
        <w:t xml:space="preserve">Proponer de a uno. Nunca ofrecer 3 productos o 6 marketplaces al mismo tiempo.</w:t>
      </w:r>
    </w:p>
    <w:p>
      <w:pPr>
        <w:pStyle w:val="ListParagraph"/>
        <w:numPr>
          <w:ilvl w:val="1"/>
          <w:numId w:val="3"/>
        </w:numPr>
        <w:spacing w:after="20" w:before="20"/>
      </w:pPr>
      <w:r>
        <w:rPr>
          <w:rFonts w:ascii="Calibri" w:cs="Calibri" w:eastAsia="Calibri" w:hAnsi="Calibri"/>
          <w:sz w:val="20"/>
          <w:szCs w:val="20"/>
        </w:rPr>
        <w:t xml:space="preserve">Priorizar el de mayor impacto en GMV y menor fricción técnica.</w:t>
      </w:r>
    </w:p>
    <w:p>
      <w:pPr>
        <w:pStyle w:val="ListParagraph"/>
        <w:numPr>
          <w:ilvl w:val="0"/>
          <w:numId w:val="2"/>
        </w:numPr>
        <w:spacing w:after="40" w:before="40"/>
      </w:pPr>
      <w:r>
        <w:rPr>
          <w:rFonts w:ascii="Calibri" w:cs="Calibri" w:eastAsia="Calibri" w:hAnsi="Calibri"/>
          <w:b/>
          <w:bCs/>
          <w:sz w:val="22"/>
          <w:szCs w:val="22"/>
        </w:rPr>
        <w:t xml:space="preserve">Usar el lenguaje del cliente, no el lenguaje de producto.</w:t>
      </w:r>
    </w:p>
    <w:p>
      <w:pPr>
        <w:pStyle w:val="ListParagraph"/>
        <w:numPr>
          <w:ilvl w:val="1"/>
          <w:numId w:val="3"/>
        </w:numPr>
        <w:spacing w:after="20" w:before="20"/>
      </w:pPr>
      <w:r>
        <w:rPr>
          <w:rFonts w:ascii="Calibri" w:cs="Calibri" w:eastAsia="Calibri" w:hAnsi="Calibri"/>
          <w:sz w:val="20"/>
          <w:szCs w:val="20"/>
        </w:rPr>
        <w:t xml:space="preserve">'Puede subir tu GMV un 20%' funciona mejor que 'tiene integración nativa con API REST'.</w:t>
      </w:r>
    </w:p>
    <w:p>
      <w:pPr>
        <w:pStyle w:val="ListParagraph"/>
        <w:numPr>
          <w:ilvl w:val="0"/>
          <w:numId w:val="2"/>
        </w:numPr>
        <w:spacing w:after="40" w:before="40"/>
      </w:pPr>
      <w:r>
        <w:rPr>
          <w:rFonts w:ascii="Calibri" w:cs="Calibri" w:eastAsia="Calibri" w:hAnsi="Calibri"/>
          <w:b/>
          <w:bCs/>
          <w:sz w:val="22"/>
          <w:szCs w:val="22"/>
        </w:rPr>
        <w:t xml:space="preserve">Registrar todo en HubSpot. Oportunidades de expansión sin registro no existen para el equipo.</w:t>
      </w:r>
    </w:p>
    <w:p>
      <w:pPr>
        <w:spacing w:after="60" w:before="60"/>
      </w:pPr>
      <w:r>
        <w:t xml:space="preserve"/>
      </w:r>
    </w:p>
    <w:p>
      <w:pPr>
        <w:spacing w:after="60" w:before="60"/>
      </w:pPr>
      <w:r>
        <w:t xml:space="preserve"/>
      </w:r>
    </w:p>
    <w:p>
      <w:pPr>
        <w:pBdr>
          <w:top w:val="single" w:color="CCCCCC" w:sz="4" w:space="4"/>
        </w:pBdr>
        <w:spacing w:before="400"/>
        <w:jc w:val="center"/>
      </w:pPr>
      <w:r>
        <w:rPr>
          <w:rFonts w:ascii="Calibri" w:cs="Calibri" w:eastAsia="Calibri" w:hAnsi="Calibri"/>
          <w:i/>
          <w:iCs/>
          <w:color w:val="AAAAAA"/>
          <w:sz w:val="18"/>
          <w:szCs w:val="18"/>
        </w:rPr>
        <w:t xml:space="preserve">AnyMarket LATAM — Customer Success | Documento interno | 2026</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Calibri" w:cs="Calibri" w:eastAsia="Calibri" w:hAnsi="Calibri"/>
        <w:color w:val="888888"/>
        <w:sz w:val="18"/>
        <w:szCs w:val="18"/>
      </w:rPr>
      <w:t xml:space="preserve">Página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de </w:t>
    </w:r>
    <w:r>
      <w:rPr>
        <w:rFonts w:ascii="Calibri" w:cs="Calibri" w:eastAsia="Calibri" w:hAnsi="Calibri"/>
        <w:color w:val="888888"/>
        <w:sz w:val="18"/>
        <w:szCs w:val="18"/>
      </w:rPr>
      <w:fldChar w:fldCharType="begin"/>
      <w:instrText xml:space="preserve">NUMPAGES</w:instrText>
      <w:fldChar w:fldCharType="separate"/>
      <w:fldChar w:fldCharType="end"/>
    </w:r>
    <w:r>
      <w:rPr>
        <w:rFonts w:ascii="Calibri" w:cs="Calibri" w:eastAsia="Calibri" w:hAnsi="Calibri"/>
        <w:color w:val="AAAAAA"/>
        <w:sz w:val="18"/>
        <w:szCs w:val="18"/>
      </w:rPr>
      <w:t xml:space="preserve">   |   Confidencial — Uso interno CS AnyMarket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A0" w:sz="4" w:space="4"/>
      </w:pBdr>
    </w:pPr>
    <w:r>
      <w:rPr>
        <w:rFonts w:ascii="Calibri" w:cs="Calibri" w:eastAsia="Calibri" w:hAnsi="Calibri"/>
        <w:color w:val="1A56A0"/>
        <w:sz w:val="18"/>
        <w:szCs w:val="18"/>
      </w:rPr>
      <w:t xml:space="preserve">AnyMarket LATAM — Customer Success</w:t>
    </w:r>
    <w:r>
      <w:rPr>
        <w:rFonts w:ascii="Calibri" w:cs="Calibri" w:eastAsia="Calibri" w:hAnsi="Calibri"/>
        <w:color w:val="888888"/>
        <w:sz w:val="18"/>
        <w:szCs w:val="18"/>
      </w:rPr>
      <w:t xml:space="preserve">   |   Flujos de Cross-Selling, Up-Selling y Parcerias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9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80" w:before="360"/>
      <w:outlineLvl w:val="0"/>
    </w:pPr>
    <w:rPr>
      <w:rFonts w:ascii="Calibri" w:cs="Calibri" w:eastAsia="Calibri" w:hAnsi="Calibri"/>
      <w:b/>
      <w:bCs/>
      <w:color w:val="1A3A6A"/>
      <w:sz w:val="36"/>
      <w:szCs w:val="36"/>
    </w:rPr>
  </w:style>
  <w:style w:type="paragraph" w:styleId="Heading2">
    <w:name w:val="Heading 2"/>
    <w:basedOn w:val="Normal"/>
    <w:next w:val="Normal"/>
    <w:pPr>
      <w:spacing w:after="120" w:before="280"/>
      <w:outlineLvl w:val="1"/>
    </w:pPr>
    <w:rPr>
      <w:rFonts w:ascii="Calibri" w:cs="Calibri" w:eastAsia="Calibri" w:hAnsi="Calibri"/>
      <w:b/>
      <w:bCs/>
      <w:color w:val="1A56A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2026-07-10T20:32:45.604Z</dcterms:created>
  <dcterms:modified xsi:type="dcterms:W3CDTF">2026-07-10T20:32:45.606Z</dcterms:modified>
</cp:coreProperties>
</file>

<file path=docProps/custom.xml><?xml version="1.0" encoding="utf-8"?>
<Properties xmlns="http://schemas.openxmlformats.org/officeDocument/2006/custom-properties" xmlns:vt="http://schemas.openxmlformats.org/officeDocument/2006/docPropsVTypes"/>
</file>