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0"/>
      </w:pPr>
      <w:r>
        <w:t xml:space="preserve"/>
      </w:r>
    </w:p>
    <w:p>
      <w:pPr>
        <w:spacing w:after="80" w:before="0"/>
        <w:jc w:val="center"/>
      </w:pPr>
      <w:r>
        <w:rPr>
          <w:rFonts w:ascii="Calibri" w:cs="Calibri" w:eastAsia="Calibri" w:hAnsi="Calibri"/>
          <w:b w:val="false"/>
          <w:bCs w:val="false"/>
          <w:color w:val="2E75B6"/>
          <w:sz w:val="24"/>
          <w:szCs w:val="24"/>
        </w:rPr>
        <w:t xml:space="preserve">AnyMarket LATAM  ·  Customer Success</w:t>
      </w:r>
    </w:p>
    <w:p>
      <w:pPr>
        <w:spacing w:after="500" w:before="0"/>
      </w:pPr>
      <w:r>
        <w:t xml:space="preserve"/>
      </w:r>
    </w:p>
    <w:p>
      <w:pPr>
        <w:pBdr>
          <w:bottom w:val="single" w:color="2E75B6" w:sz="8" w:space="4"/>
        </w:pBdr>
        <w:spacing w:after="120" w:before="0"/>
        <w:jc w:val="center"/>
      </w:pPr>
      <w:r>
        <w:rPr>
          <w:rFonts w:ascii="Calibri" w:cs="Calibri" w:eastAsia="Calibri" w:hAnsi="Calibri"/>
          <w:b/>
          <w:bCs/>
          <w:color w:val="0D2137"/>
          <w:sz w:val="60"/>
          <w:szCs w:val="60"/>
        </w:rPr>
        <w:t xml:space="preserve">Health Score Institucional</w:t>
      </w:r>
    </w:p>
    <w:p>
      <w:pPr>
        <w:spacing w:after="160" w:before="0"/>
      </w:pPr>
      <w:r>
        <w:t xml:space="preserve"/>
      </w:r>
    </w:p>
    <w:p>
      <w:pPr>
        <w:spacing w:after="60" w:before="0"/>
        <w:jc w:val="center"/>
      </w:pPr>
      <w:r>
        <w:rPr>
          <w:rFonts w:ascii="Calibri" w:cs="Calibri" w:eastAsia="Calibri" w:hAnsi="Calibri"/>
          <w:i/>
          <w:iCs/>
          <w:color w:val="4A5568"/>
          <w:sz w:val="28"/>
          <w:szCs w:val="28"/>
        </w:rPr>
        <w:t xml:space="preserve">Qué es, cómo se mide y cómo mejorar</w:t>
      </w:r>
    </w:p>
    <w:p>
      <w:pPr>
        <w:spacing w:after="800" w:before="0"/>
      </w:pPr>
      <w:r>
        <w:t xml:space="preserve"/>
      </w:r>
    </w:p>
    <w:p>
      <w:pPr>
        <w:spacing w:after="60" w:before="0"/>
        <w:jc w:val="center"/>
      </w:pPr>
      <w:r>
        <w:rPr>
          <w:rFonts w:ascii="Calibri" w:cs="Calibri" w:eastAsia="Calibri" w:hAnsi="Calibri"/>
          <w:color w:val="4A5568"/>
          <w:sz w:val="20"/>
          <w:szCs w:val="20"/>
        </w:rPr>
        <w:t xml:space="preserve">Versión 1.0  ·  Julio 2026  ·  Confidencial — uso interno</w:t>
      </w:r>
    </w:p>
    <w:p>
      <w:r>
        <w:br w:type="page"/>
      </w:r>
    </w:p>
    <w:p>
      <w:pPr>
        <w:pStyle w:val="Heading1"/>
        <w:spacing w:after="160" w:before="320"/>
      </w:pPr>
      <w:r>
        <w:rPr>
          <w:rFonts w:ascii="Calibri" w:cs="Calibri" w:eastAsia="Calibri" w:hAnsi="Calibri"/>
          <w:b/>
          <w:bCs/>
          <w:color w:val="0D2137"/>
          <w:sz w:val="32"/>
          <w:szCs w:val="32"/>
        </w:rPr>
        <w:t xml:space="preserve">1. ¿Qué es el Health Score?</w:t>
      </w:r>
    </w:p>
    <w:p>
      <w:pPr>
        <w:spacing w:after="100" w:before="120"/>
        <w:jc w:val="left"/>
      </w:pPr>
      <w:r>
        <w:rPr>
          <w:rFonts w:ascii="Calibri" w:cs="Calibri" w:eastAsia="Calibri" w:hAnsi="Calibri"/>
          <w:b w:val="false"/>
          <w:bCs w:val="false"/>
          <w:i w:val="false"/>
          <w:iCs w:val="false"/>
          <w:color w:val="2D3748"/>
          <w:sz w:val="22"/>
          <w:szCs w:val="22"/>
        </w:rPr>
        <w:t xml:space="preserve">El Health Score (HS) es el indicador de salud de una cuenta de cliente. Es un número entre 0 y 100 que sintetiza múltiples señales operativas, comerciales y relacionales en una sola lectura comparable.</w:t>
      </w:r>
    </w:p>
    <w:p>
      <w:pPr>
        <w:spacing w:after="80" w:before="0"/>
      </w:pPr>
      <w:r>
        <w:t xml:space="preserve"/>
      </w:r>
    </w:p>
    <w:p>
      <w:pPr>
        <w:spacing w:after="100" w:before="120"/>
        <w:jc w:val="left"/>
      </w:pPr>
      <w:r>
        <w:rPr>
          <w:rFonts w:ascii="Calibri" w:cs="Calibri" w:eastAsia="Calibri" w:hAnsi="Calibri"/>
          <w:b/>
          <w:bCs/>
          <w:i w:val="false"/>
          <w:iCs w:val="false"/>
          <w:color w:val="1A4B8C"/>
          <w:sz w:val="22"/>
          <w:szCs w:val="22"/>
        </w:rPr>
        <w:t xml:space="preserve">No es una opinión del CSM. No es una percepción subjetiva. Es un cálculo objetivo basado en datos reales de fuentes oficiales.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EEF4FB" w:val="clear"/>
            <w:tcMar>
              <w:top w:type="dxa" w:w="160"/>
              <w:left w:type="dxa" w:w="200"/>
              <w:bottom w:type="dxa" w:w="160"/>
              <w:right w:type="dxa" w:w="200"/>
            </w:tcMar>
          </w:tcPr>
          <w:p>
            <w:pPr>
              <w:spacing w:after="80" w:before="0"/>
              <w:jc w:val="left"/>
            </w:pPr>
            <w:r>
              <w:rPr>
                <w:rFonts w:ascii="Calibri" w:cs="Calibri" w:eastAsia="Calibri" w:hAnsi="Calibri"/>
                <w:b/>
                <w:bCs/>
                <w:i w:val="false"/>
                <w:iCs w:val="false"/>
                <w:color w:val="1A4B8C"/>
                <w:sz w:val="22"/>
                <w:szCs w:val="22"/>
              </w:rPr>
              <w:t xml:space="preserve">Lo que el HS SÍ es</w:t>
            </w:r>
          </w:p>
          <w:p>
            <w:pPr>
              <w:pStyle w:val="ListParagraph"/>
              <w:numPr>
                <w:ilvl w:val="0"/>
                <w:numId w:val="2"/>
              </w:numPr>
              <w:spacing w:after="60" w:before="60"/>
            </w:pPr>
            <w:r>
              <w:rPr>
                <w:rFonts w:ascii="Calibri" w:cs="Calibri" w:eastAsia="Calibri" w:hAnsi="Calibri"/>
                <w:color w:val="4A5568"/>
                <w:sz w:val="20"/>
                <w:szCs w:val="20"/>
              </w:rPr>
              <w:t xml:space="preserve">Una señal de acción semanal</w:t>
            </w:r>
          </w:p>
          <w:p>
            <w:pPr>
              <w:pStyle w:val="ListParagraph"/>
              <w:numPr>
                <w:ilvl w:val="0"/>
                <w:numId w:val="2"/>
              </w:numPr>
              <w:spacing w:after="60" w:before="60"/>
            </w:pPr>
            <w:r>
              <w:rPr>
                <w:rFonts w:ascii="Calibri" w:cs="Calibri" w:eastAsia="Calibri" w:hAnsi="Calibri"/>
                <w:color w:val="4A5568"/>
                <w:sz w:val="20"/>
                <w:szCs w:val="20"/>
              </w:rPr>
              <w:t xml:space="preserve">Un argumento de retención basado en datos</w:t>
            </w:r>
          </w:p>
          <w:p>
            <w:pPr>
              <w:pStyle w:val="ListParagraph"/>
              <w:numPr>
                <w:ilvl w:val="0"/>
                <w:numId w:val="2"/>
              </w:numPr>
              <w:spacing w:after="60" w:before="60"/>
            </w:pPr>
            <w:r>
              <w:rPr>
                <w:rFonts w:ascii="Calibri" w:cs="Calibri" w:eastAsia="Calibri" w:hAnsi="Calibri"/>
                <w:color w:val="4A5568"/>
                <w:sz w:val="20"/>
                <w:szCs w:val="20"/>
              </w:rPr>
              <w:t xml:space="preserve">Un predictor de churn antes de que ocurra</w:t>
            </w:r>
          </w:p>
          <w:p>
            <w:pPr>
              <w:pStyle w:val="ListParagraph"/>
              <w:numPr>
                <w:ilvl w:val="0"/>
                <w:numId w:val="2"/>
              </w:numPr>
              <w:spacing w:after="60" w:before="60"/>
            </w:pPr>
            <w:r>
              <w:rPr>
                <w:rFonts w:ascii="Calibri" w:cs="Calibri" w:eastAsia="Calibri" w:hAnsi="Calibri"/>
                <w:color w:val="4A5568"/>
                <w:sz w:val="20"/>
                <w:szCs w:val="20"/>
              </w:rPr>
              <w:t xml:space="preserve">Un criterio de priorización de la agenda del CSM</w:t>
            </w:r>
          </w:p>
          <w:p>
            <w:pPr>
              <w:pStyle w:val="ListParagraph"/>
              <w:numPr>
                <w:ilvl w:val="0"/>
                <w:numId w:val="2"/>
              </w:numPr>
              <w:spacing w:after="60" w:before="60"/>
            </w:pPr>
            <w:r>
              <w:rPr>
                <w:rFonts w:ascii="Calibri" w:cs="Calibri" w:eastAsia="Calibri" w:hAnsi="Calibri"/>
                <w:color w:val="4A5568"/>
                <w:sz w:val="20"/>
                <w:szCs w:val="20"/>
              </w:rPr>
              <w:t xml:space="preserve">Un lenguaje común entre CSMs y Dirección</w:t>
            </w:r>
          </w:p>
        </w:tc>
        <w:tc>
          <w:tcPr>
            <w:tcW w:type="dxa" w:w="4680"/>
            <w:tcBorders>
              <w:top w:val="single" w:color="8B0000" w:sz="4"/>
              <w:left w:val="single" w:color="8B0000" w:sz="4"/>
              <w:bottom w:val="single" w:color="8B0000" w:sz="4"/>
              <w:right w:val="single" w:color="8B0000" w:sz="4"/>
            </w:tcBorders>
            <w:shd w:fill="F8D7DA" w:val="clear"/>
            <w:tcMar>
              <w:top w:type="dxa" w:w="160"/>
              <w:left w:type="dxa" w:w="200"/>
              <w:bottom w:type="dxa" w:w="160"/>
              <w:right w:type="dxa" w:w="200"/>
            </w:tcMar>
          </w:tcPr>
          <w:p>
            <w:pPr>
              <w:spacing w:after="80" w:before="0"/>
              <w:jc w:val="left"/>
            </w:pPr>
            <w:r>
              <w:rPr>
                <w:rFonts w:ascii="Calibri" w:cs="Calibri" w:eastAsia="Calibri" w:hAnsi="Calibri"/>
                <w:b/>
                <w:bCs/>
                <w:i w:val="false"/>
                <w:iCs w:val="false"/>
                <w:color w:val="8B0000"/>
                <w:sz w:val="22"/>
                <w:szCs w:val="22"/>
              </w:rPr>
              <w:t xml:space="preserve">Lo que el HS NO es</w:t>
            </w:r>
          </w:p>
          <w:p>
            <w:pPr>
              <w:pStyle w:val="ListParagraph"/>
              <w:numPr>
                <w:ilvl w:val="0"/>
                <w:numId w:val="2"/>
              </w:numPr>
              <w:spacing w:after="60" w:before="60"/>
            </w:pPr>
            <w:r>
              <w:rPr>
                <w:rFonts w:ascii="Calibri" w:cs="Calibri" w:eastAsia="Calibri" w:hAnsi="Calibri"/>
                <w:color w:val="4A5568"/>
                <w:sz w:val="20"/>
                <w:szCs w:val="20"/>
              </w:rPr>
              <w:t xml:space="preserve">Una evaluación subjetiva del cliente</w:t>
            </w:r>
          </w:p>
          <w:p>
            <w:pPr>
              <w:pStyle w:val="ListParagraph"/>
              <w:numPr>
                <w:ilvl w:val="0"/>
                <w:numId w:val="2"/>
              </w:numPr>
              <w:spacing w:after="60" w:before="60"/>
            </w:pPr>
            <w:r>
              <w:rPr>
                <w:rFonts w:ascii="Calibri" w:cs="Calibri" w:eastAsia="Calibri" w:hAnsi="Calibri"/>
                <w:color w:val="4A5568"/>
                <w:sz w:val="20"/>
                <w:szCs w:val="20"/>
              </w:rPr>
              <w:t xml:space="preserve">Un reporte de actividad del CSM</w:t>
            </w:r>
          </w:p>
          <w:p>
            <w:pPr>
              <w:pStyle w:val="ListParagraph"/>
              <w:numPr>
                <w:ilvl w:val="0"/>
                <w:numId w:val="2"/>
              </w:numPr>
              <w:spacing w:after="60" w:before="60"/>
            </w:pPr>
            <w:r>
              <w:rPr>
                <w:rFonts w:ascii="Calibri" w:cs="Calibri" w:eastAsia="Calibri" w:hAnsi="Calibri"/>
                <w:color w:val="4A5568"/>
                <w:sz w:val="20"/>
                <w:szCs w:val="20"/>
              </w:rPr>
              <w:t xml:space="preserve">Un número que se completa con estimaciones</w:t>
            </w:r>
          </w:p>
          <w:p>
            <w:pPr>
              <w:pStyle w:val="ListParagraph"/>
              <w:numPr>
                <w:ilvl w:val="0"/>
                <w:numId w:val="2"/>
              </w:numPr>
              <w:spacing w:after="60" w:before="60"/>
            </w:pPr>
            <w:r>
              <w:rPr>
                <w:rFonts w:ascii="Calibri" w:cs="Calibri" w:eastAsia="Calibri" w:hAnsi="Calibri"/>
                <w:color w:val="4A5568"/>
                <w:sz w:val="20"/>
                <w:szCs w:val="20"/>
              </w:rPr>
              <w:t xml:space="preserve">Una fotografía permanente — cambia cada semana</w:t>
            </w:r>
          </w:p>
          <w:p>
            <w:pPr>
              <w:pStyle w:val="ListParagraph"/>
              <w:numPr>
                <w:ilvl w:val="0"/>
                <w:numId w:val="2"/>
              </w:numPr>
              <w:spacing w:after="60" w:before="60"/>
            </w:pPr>
            <w:r>
              <w:rPr>
                <w:rFonts w:ascii="Calibri" w:cs="Calibri" w:eastAsia="Calibri" w:hAnsi="Calibri"/>
                <w:color w:val="4A5568"/>
                <w:sz w:val="20"/>
                <w:szCs w:val="20"/>
              </w:rPr>
              <w:t xml:space="preserve">Un fin en sí mismo — es un medio para actuar</w:t>
            </w:r>
          </w:p>
        </w:tc>
      </w:tr>
    </w:tbl>
    <w:p>
      <w:pPr>
        <w:spacing w:after="120" w:before="0"/>
      </w:pPr>
      <w:r>
        <w:t xml:space="preserve"/>
      </w:r>
    </w:p>
    <w:p>
      <w:pPr>
        <w:spacing w:after="100" w:before="120"/>
        <w:jc w:val="left"/>
      </w:pPr>
      <w:r>
        <w:rPr>
          <w:rFonts w:ascii="Calibri" w:cs="Calibri" w:eastAsia="Calibri" w:hAnsi="Calibri"/>
          <w:b w:val="false"/>
          <w:bCs w:val="false"/>
          <w:i/>
          <w:iCs/>
          <w:color w:val="8B0000"/>
          <w:sz w:val="20"/>
          <w:szCs w:val="20"/>
        </w:rPr>
        <w:t xml:space="preserve">Principio central: si no hay dato real de fuente oficial, el campo es null. Un Health Score parcialmente calculado con datos inventados es más peligroso que no tener score.</w:t>
      </w:r>
    </w:p>
    <w:p>
      <w:r>
        <w:br w:type="page"/>
      </w:r>
    </w:p>
    <w:p>
      <w:pPr>
        <w:pStyle w:val="Heading1"/>
        <w:spacing w:after="160" w:before="320"/>
      </w:pPr>
      <w:r>
        <w:rPr>
          <w:rFonts w:ascii="Calibri" w:cs="Calibri" w:eastAsia="Calibri" w:hAnsi="Calibri"/>
          <w:b/>
          <w:bCs/>
          <w:color w:val="0D2137"/>
          <w:sz w:val="32"/>
          <w:szCs w:val="32"/>
        </w:rPr>
        <w:t xml:space="preserve">2. Health Score por cartera</w:t>
      </w:r>
    </w:p>
    <w:p>
      <w:pPr>
        <w:spacing w:after="100" w:before="120"/>
        <w:jc w:val="left"/>
      </w:pPr>
      <w:r>
        <w:rPr>
          <w:rFonts w:ascii="Calibri" w:cs="Calibri" w:eastAsia="Calibri" w:hAnsi="Calibri"/>
          <w:b w:val="false"/>
          <w:bCs w:val="false"/>
          <w:i w:val="false"/>
          <w:iCs w:val="false"/>
          <w:color w:val="2D3748"/>
          <w:sz w:val="22"/>
          <w:szCs w:val="22"/>
        </w:rPr>
        <w:t xml:space="preserve">Cada CSM gestiona su cartera usando el mismo modelo de Health Score. Esto garantiza que el Director de CS pueda comparar cuentas entre diferentes CSMs y carteras con un criterio unificado.</w:t>
      </w:r>
    </w:p>
    <w:p>
      <w:pPr>
        <w:spacing w:after="120" w:before="0"/>
      </w:pPr>
      <w:r>
        <w:t xml:space="preserve"/>
      </w:r>
    </w:p>
    <w:p>
      <w:pPr>
        <w:pStyle w:val="Heading2"/>
        <w:spacing w:after="100" w:before="220"/>
      </w:pPr>
      <w:r>
        <w:rPr>
          <w:rFonts w:ascii="Calibri" w:cs="Calibri" w:eastAsia="Calibri" w:hAnsi="Calibri"/>
          <w:b/>
          <w:bCs/>
          <w:color w:val="1A4B8C"/>
          <w:sz w:val="26"/>
          <w:szCs w:val="26"/>
        </w:rPr>
        <w:t xml:space="preserve">2.1  Estructura de la cartera</w:t>
      </w:r>
    </w:p>
    <w:p>
      <w:pPr>
        <w:spacing w:after="100" w:before="120"/>
        <w:jc w:val="left"/>
      </w:pPr>
      <w:r>
        <w:rPr>
          <w:rFonts w:ascii="Calibri" w:cs="Calibri" w:eastAsia="Calibri" w:hAnsi="Calibri"/>
          <w:b w:val="false"/>
          <w:bCs w:val="false"/>
          <w:i w:val="false"/>
          <w:iCs w:val="false"/>
          <w:color w:val="2D3748"/>
          <w:sz w:val="21"/>
          <w:szCs w:val="21"/>
        </w:rPr>
        <w:t xml:space="preserve">La cartera de AnyMarket LATAM se divide por CSM y por región. El Health Score se calcula individualmente por cuenta y se agrega a nivel de cartera para generar tres métricas de gestión: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rPr>
          <w:tblHeader/>
        </w:trPr>
        <w:tc>
          <w:tcPr>
            <w:tcW w:type="dxa" w:w="30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Métrica</w:t>
            </w:r>
          </w:p>
        </w:tc>
        <w:tc>
          <w:tcPr>
            <w:tcW w:type="dxa" w:w="288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Cómo se calcula</w:t>
            </w:r>
          </w:p>
        </w:tc>
        <w:tc>
          <w:tcPr>
            <w:tcW w:type="dxa" w:w="348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Para qué sirve</w:t>
            </w:r>
          </w:p>
        </w:tc>
      </w:tr>
      <w:tr>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HS Promedio de Cartera</w:t>
            </w:r>
          </w:p>
        </w:tc>
        <w:tc>
          <w:tcPr>
            <w:tcW w:type="dxa" w:w="28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Promedio simple de todos los HS individuales</w:t>
            </w:r>
          </w:p>
        </w:tc>
        <w:tc>
          <w:tcPr>
            <w:tcW w:type="dxa" w:w="34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Indicador macro de la salud general del portafolio. Se presenta mensualmente al Director.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Distribución por Semáforo</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 de cuentas en verde / amarillo / naranja / rojo</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Muestra la concentración de riesgo. Una cartera sana tiene &gt;70% de cuentas en verde.</w:t>
            </w:r>
          </w:p>
        </w:tc>
      </w:tr>
      <w:tr>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Movimiento Semanal</w:t>
            </w:r>
          </w:p>
        </w:tc>
        <w:tc>
          <w:tcPr>
            <w:tcW w:type="dxa" w:w="28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Cuentas que subieron o bajaron de color vs. semana anterior</w:t>
            </w:r>
          </w:p>
        </w:tc>
        <w:tc>
          <w:tcPr>
            <w:tcW w:type="dxa" w:w="34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Detecta tendencias. Un cliente que baja de verde a amarillo requiere acción inmediata.</w:t>
            </w:r>
          </w:p>
        </w:tc>
      </w:tr>
    </w:tbl>
    <w:p>
      <w:pPr>
        <w:spacing w:after="120" w:before="0"/>
      </w:pPr>
      <w:r>
        <w:t xml:space="preserve"/>
      </w:r>
    </w:p>
    <w:p>
      <w:pPr>
        <w:pStyle w:val="Heading2"/>
        <w:spacing w:after="100" w:before="220"/>
      </w:pPr>
      <w:r>
        <w:rPr>
          <w:rFonts w:ascii="Calibri" w:cs="Calibri" w:eastAsia="Calibri" w:hAnsi="Calibri"/>
          <w:b/>
          <w:bCs/>
          <w:color w:val="1A4B8C"/>
          <w:sz w:val="26"/>
          <w:szCs w:val="26"/>
        </w:rPr>
        <w:t xml:space="preserve">2.2  Frecuencia de actualización</w:t>
      </w:r>
    </w:p>
    <w:p>
      <w:pPr>
        <w:spacing w:after="100" w:before="120"/>
        <w:jc w:val="left"/>
      </w:pPr>
      <w:r>
        <w:rPr>
          <w:rFonts w:ascii="Calibri" w:cs="Calibri" w:eastAsia="Calibri" w:hAnsi="Calibri"/>
          <w:b w:val="false"/>
          <w:bCs w:val="false"/>
          <w:i w:val="false"/>
          <w:iCs w:val="false"/>
          <w:color w:val="2D3748"/>
          <w:sz w:val="21"/>
          <w:szCs w:val="21"/>
        </w:rPr>
        <w:t xml:space="preserve">El Health Score se actualiza una vez por semana, idealmente los lunes antes de la reunión de equipo. Los datos deben provenir exclusivamente de las fuentes oficiales definidas en la Sección 4.</w:t>
      </w:r>
    </w:p>
    <w:p>
      <w:pPr>
        <w:spacing w:after="80" w:before="0"/>
      </w:pPr>
      <w:r>
        <w:t xml:space="preserve"/>
      </w:r>
    </w:p>
    <w:p>
      <w:pPr>
        <w:spacing w:after="100" w:before="120"/>
        <w:jc w:val="left"/>
      </w:pPr>
      <w:r>
        <w:rPr>
          <w:rFonts w:ascii="Calibri" w:cs="Calibri" w:eastAsia="Calibri" w:hAnsi="Calibri"/>
          <w:b w:val="false"/>
          <w:bCs w:val="false"/>
          <w:i/>
          <w:iCs/>
          <w:color w:val="4A5568"/>
          <w:sz w:val="20"/>
          <w:szCs w:val="20"/>
        </w:rPr>
        <w:t xml:space="preserve">Si un dato no se puede obtener esa semana, el campo queda en null y el score de ese cliente queda en null hasta la próxima actualización. Nunca se usan valores de la semana anterior para rellenar un campo vacío.</w:t>
      </w:r>
    </w:p>
    <w:p>
      <w:r>
        <w:br w:type="page"/>
      </w:r>
    </w:p>
    <w:p>
      <w:pPr>
        <w:pStyle w:val="Heading1"/>
        <w:spacing w:after="160" w:before="320"/>
      </w:pPr>
      <w:r>
        <w:rPr>
          <w:rFonts w:ascii="Calibri" w:cs="Calibri" w:eastAsia="Calibri" w:hAnsi="Calibri"/>
          <w:b/>
          <w:bCs/>
          <w:color w:val="0D2137"/>
          <w:sz w:val="32"/>
          <w:szCs w:val="32"/>
        </w:rPr>
        <w:t xml:space="preserve">3. Criterios de diseño del Health Score</w:t>
      </w:r>
    </w:p>
    <w:p>
      <w:pPr>
        <w:spacing w:after="100" w:before="120"/>
        <w:jc w:val="left"/>
      </w:pPr>
      <w:r>
        <w:rPr>
          <w:rFonts w:ascii="Calibri" w:cs="Calibri" w:eastAsia="Calibri" w:hAnsi="Calibri"/>
          <w:b w:val="false"/>
          <w:bCs w:val="false"/>
          <w:i w:val="false"/>
          <w:iCs w:val="false"/>
          <w:color w:val="2D3748"/>
          <w:sz w:val="22"/>
          <w:szCs w:val="22"/>
        </w:rPr>
        <w:t xml:space="preserve">El modelo de Health Score de AnyMarket LATAM fue diseñado con cuatro criterios fundamentales. Cualquier revisión futura del modelo debe respetar estos principios.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Criterio</w:t>
            </w:r>
          </w:p>
        </w:tc>
        <w:tc>
          <w:tcPr>
            <w:tcW w:type="dxa" w:w="12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Peso</w:t>
            </w:r>
          </w:p>
        </w:tc>
        <w:tc>
          <w:tcPr>
            <w:tcW w:type="dxa" w:w="576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Justificación estratégica</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1. Predictivo</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1A4B8C"/>
                <w:sz w:val="20"/>
                <w:szCs w:val="20"/>
              </w:rPr>
              <w:t xml:space="preserve">Alta</w:t>
            </w:r>
          </w:p>
        </w:tc>
        <w:tc>
          <w:tcPr>
            <w:tcW w:type="dxa" w:w="5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Los KPIs seleccionados deben anticipar el churn, no confirmarlo. El NPS, la adopción y la cadencia de contacto son señales tempranas; los tickets son señales reactivas. El modelo combina ambas.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2. Accionable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Calibri" w:cs="Calibri" w:eastAsia="Calibri" w:hAnsi="Calibri"/>
                <w:b/>
                <w:bCs/>
                <w:i w:val="false"/>
                <w:iCs w:val="false"/>
                <w:color w:val="1A4B8C"/>
                <w:sz w:val="20"/>
                <w:szCs w:val="20"/>
              </w:rPr>
              <w:t xml:space="preserve">Alta</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Cada nivel del semáforo debe disparar una acción concreta y diferente. Si el score no cambia el comportamiento del CSM, el KPI no aporta valor al modelo.</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3. Basado en datos reales</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8B0000"/>
                <w:sz w:val="20"/>
                <w:szCs w:val="20"/>
              </w:rPr>
              <w:t xml:space="preserve">Crítico</w:t>
            </w:r>
          </w:p>
        </w:tc>
        <w:tc>
          <w:tcPr>
            <w:tcW w:type="dxa" w:w="5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Cada KPI tiene una fuente oficial única. Sin esa fuente, el campo es null. La precisión es más importante que la completitud.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4. Comparable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Calibri" w:cs="Calibri" w:eastAsia="Calibri" w:hAnsi="Calibri"/>
                <w:b/>
                <w:bCs/>
                <w:i w:val="false"/>
                <w:iCs w:val="false"/>
                <w:color w:val="1A4B8C"/>
                <w:sz w:val="20"/>
                <w:szCs w:val="20"/>
              </w:rPr>
              <w:t xml:space="preserve">Alta</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El mismo modelo aplica a todas las cuentas y todos los CSMs. Esto permite rankings de cartera, benchmarks entre regiones y tendencias históricas.</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5. Revisable trimestralmente</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1A4B8C"/>
                <w:sz w:val="20"/>
                <w:szCs w:val="20"/>
              </w:rPr>
              <w:t xml:space="preserve">Media</w:t>
            </w:r>
          </w:p>
        </w:tc>
        <w:tc>
          <w:tcPr>
            <w:tcW w:type="dxa" w:w="5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El modelo se revisa cada trimestre para validar que los KPIs siguen siendo predictivos. Si un KPI no correlaciona con churn real, se ajusta o se reemplaza.</w:t>
            </w:r>
          </w:p>
        </w:tc>
      </w:tr>
    </w:tbl>
    <w:p>
      <w:pPr>
        <w:spacing w:after="120" w:before="0"/>
      </w:pPr>
      <w:r>
        <w:t xml:space="preserve"/>
      </w:r>
    </w:p>
    <w:p>
      <w:pPr>
        <w:pStyle w:val="Heading2"/>
        <w:spacing w:after="100" w:before="220"/>
      </w:pPr>
      <w:r>
        <w:rPr>
          <w:rFonts w:ascii="Calibri" w:cs="Calibri" w:eastAsia="Calibri" w:hAnsi="Calibri"/>
          <w:b/>
          <w:bCs/>
          <w:color w:val="1A4B8C"/>
          <w:sz w:val="26"/>
          <w:szCs w:val="26"/>
        </w:rPr>
        <w:t xml:space="preserve">3.1  Por qué estos 5 KPIs y no otros</w:t>
      </w:r>
    </w:p>
    <w:p>
      <w:pPr>
        <w:spacing w:after="100" w:before="120"/>
        <w:jc w:val="left"/>
      </w:pPr>
      <w:r>
        <w:rPr>
          <w:rFonts w:ascii="Calibri" w:cs="Calibri" w:eastAsia="Calibri" w:hAnsi="Calibri"/>
          <w:b w:val="false"/>
          <w:bCs w:val="false"/>
          <w:i w:val="false"/>
          <w:iCs w:val="false"/>
          <w:color w:val="2D3748"/>
          <w:sz w:val="21"/>
          <w:szCs w:val="21"/>
        </w:rPr>
        <w:t xml:space="preserve">El modelo excluye deliberadamente métricas que parecen relevantes pero que no son predictivas ni accionables en el contexto de AnyMarket LATAM: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Métrica excluida</w:t>
            </w:r>
          </w:p>
        </w:tc>
        <w:tc>
          <w:tcPr>
            <w:tcW w:type="dxa" w:w="656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Por qué no está en el modelo</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Estado de renovación contractual</w:t>
            </w:r>
          </w:p>
        </w:tc>
        <w:tc>
          <w:tcPr>
            <w:tcW w:type="dxa" w:w="6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AnyMarket opera bajo renovación mensual automática. El riesgo contractual es permanente todos los meses — no existe un momento concentrado de renovación. Los otros 5 KPIs capturan ese riesgo de forma continua.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MRR / valor del contrato</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Es un input de priorización (cuentas de mayor valor merecen más atención), no un indicador de salud. Una cuenta de alto MRR puede tener HS bajo, y eso es exactamente lo que el modelo debe detectar.</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Número de sesiones en la plataforma</w:t>
            </w:r>
          </w:p>
        </w:tc>
        <w:tc>
          <w:tcPr>
            <w:tcW w:type="dxa" w:w="6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Los logins no indican adopción real. Un cliente puede acceder todos los días a la plataforma sin generar ningún GMV. El Use Points mide uso funcional real.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Tiempo en la plataforma</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No hay correlación demostrada entre tiempo de sesión y retención en plataformas SaaS de eCommerce. El tiempo en plataforma puede indicar fricción, no adopción.</w:t>
            </w:r>
          </w:p>
        </w:tc>
      </w:tr>
    </w:tbl>
    <w:p>
      <w:r>
        <w:br w:type="page"/>
      </w:r>
    </w:p>
    <w:p>
      <w:pPr>
        <w:pStyle w:val="Heading1"/>
        <w:spacing w:after="160" w:before="320"/>
      </w:pPr>
      <w:r>
        <w:rPr>
          <w:rFonts w:ascii="Calibri" w:cs="Calibri" w:eastAsia="Calibri" w:hAnsi="Calibri"/>
          <w:b/>
          <w:bCs/>
          <w:color w:val="0D2137"/>
          <w:sz w:val="32"/>
          <w:szCs w:val="32"/>
        </w:rPr>
        <w:t xml:space="preserve">4. Los 5 KPIs del Health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400"/>
        <w:gridCol w:w="3360"/>
      </w:tblGrid>
      <w:tr>
        <w:trPr>
          <w:tblHeader/>
        </w:trPr>
        <w:tc>
          <w:tcPr>
            <w:tcW w:type="dxa" w:w="26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KPI</w:t>
            </w:r>
          </w:p>
        </w:tc>
        <w:tc>
          <w:tcPr>
            <w:tcW w:type="dxa" w:w="10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Peso</w:t>
            </w:r>
          </w:p>
        </w:tc>
        <w:tc>
          <w:tcPr>
            <w:tcW w:type="dxa" w:w="24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Fuente oficial</w:t>
            </w:r>
          </w:p>
        </w:tc>
        <w:tc>
          <w:tcPr>
            <w:tcW w:type="dxa" w:w="336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Lógica de negocio</w:t>
            </w:r>
          </w:p>
        </w:tc>
      </w:tr>
      <w:tr>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GMV / Actividad comercial</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1A4B8C"/>
                <w:sz w:val="20"/>
                <w:szCs w:val="20"/>
              </w:rPr>
              <w:t xml:space="preserve">25%</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Power BI GMV</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El GMV es la razón de existir de AnyMarket. Si el cliente vende, está obteniendo valor. Si el GMV cae o es cero, hay un problema existencial.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Tickets y bugs abiertos</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Calibri" w:cs="Calibri" w:eastAsia="Calibri" w:hAnsi="Calibri"/>
                <w:b/>
                <w:bCs/>
                <w:i w:val="false"/>
                <w:iCs w:val="false"/>
                <w:color w:val="1A4B8C"/>
                <w:sz w:val="20"/>
                <w:szCs w:val="20"/>
              </w:rPr>
              <w:t xml:space="preserve">25%</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Zendesk db1globalsoftwaresupport</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Los tickets son fricción acumulada. Un cliente con 5+ tickets abiertos está invirtiendo tiempo en resolver problemas en lugar de crecer con la plataforma.</w:t>
            </w:r>
          </w:p>
        </w:tc>
      </w:tr>
      <w:tr>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Adopción — Use Points</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1A4B8C"/>
                <w:sz w:val="20"/>
                <w:szCs w:val="20"/>
              </w:rPr>
              <w:t xml:space="preserve">20%</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AnyMarket / Power BI Use Points</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La adopción crea switching cost. Un cliente que usa el 80%+ de su plan tiene dificultad técnica y operativa para irse. Un cliente en 0% puede cancelar sin fricción.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NPS — Sentimiento del cliente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Calibri" w:cs="Calibri" w:eastAsia="Calibri" w:hAnsi="Calibri"/>
                <w:b/>
                <w:bCs/>
                <w:i w:val="false"/>
                <w:iCs w:val="false"/>
                <w:color w:val="1A4B8C"/>
                <w:sz w:val="20"/>
                <w:szCs w:val="20"/>
              </w:rPr>
              <w:t xml:space="preserve">15%</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TrackSale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El NPS captura la intención del cliente antes de que se manifieste como acción. Un detractor no comunica su malestar — simplemente cancela. El NPS da tiempo para actuar.</w:t>
            </w:r>
          </w:p>
        </w:tc>
      </w:tr>
      <w:tr>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Último contacto del CSM</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1A4B8C"/>
                <w:sz w:val="20"/>
                <w:szCs w:val="20"/>
              </w:rPr>
              <w:t xml:space="preserve">15%</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HubSpot / Outlook</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La cadencia de contacto es responsabilidad 100% del CSM. Un cliente sin contacto en 90+ días no tiene relación activa con AnyMarket — eso es riesgo puro de churn silencioso.</w:t>
            </w:r>
          </w:p>
        </w:tc>
      </w:tr>
    </w:tbl>
    <w:p>
      <w:pPr>
        <w:spacing w:after="140" w:before="0"/>
      </w:pPr>
      <w:r>
        <w:t xml:space="preserve"/>
      </w:r>
    </w:p>
    <w:p>
      <w:pPr>
        <w:pStyle w:val="Heading2"/>
        <w:spacing w:after="100" w:before="220"/>
      </w:pPr>
      <w:r>
        <w:rPr>
          <w:rFonts w:ascii="Calibri" w:cs="Calibri" w:eastAsia="Calibri" w:hAnsi="Calibri"/>
          <w:b/>
          <w:bCs/>
          <w:color w:val="1A4B8C"/>
          <w:sz w:val="26"/>
          <w:szCs w:val="26"/>
        </w:rPr>
        <w:t xml:space="preserve">4.1  Escala de puntuación</w:t>
      </w:r>
    </w:p>
    <w:p>
      <w:pPr>
        <w:spacing w:after="100" w:before="120"/>
        <w:jc w:val="left"/>
      </w:pPr>
      <w:r>
        <w:rPr>
          <w:rFonts w:ascii="Calibri" w:cs="Calibri" w:eastAsia="Calibri" w:hAnsi="Calibri"/>
          <w:b w:val="false"/>
          <w:bCs w:val="false"/>
          <w:i w:val="false"/>
          <w:iCs w:val="false"/>
          <w:color w:val="2D3748"/>
          <w:sz w:val="21"/>
          <w:szCs w:val="21"/>
        </w:rPr>
        <w:t xml:space="preserve">Cada KPI recibe entre 0 y 100 puntos según el nivel alcanzado. El score final es la suma ponderada.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tblHeader/>
        </w:trPr>
        <w:tc>
          <w:tcPr>
            <w:tcW w:type="dxa" w:w="24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KPI</w:t>
            </w:r>
          </w:p>
        </w:tc>
        <w:tc>
          <w:tcPr>
            <w:tcW w:type="dxa" w:w="17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100 pts — Verde</w:t>
            </w:r>
          </w:p>
        </w:tc>
        <w:tc>
          <w:tcPr>
            <w:tcW w:type="dxa" w:w="17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60 pts — Amarillo</w:t>
            </w:r>
          </w:p>
        </w:tc>
        <w:tc>
          <w:tcPr>
            <w:tcW w:type="dxa" w:w="17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30 pts — Naranja</w:t>
            </w:r>
          </w:p>
        </w:tc>
        <w:tc>
          <w:tcPr>
            <w:tcW w:type="dxa" w:w="186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0 pts — Rojo</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GMV (25%)</w:t>
            </w:r>
          </w:p>
        </w:tc>
        <w:tc>
          <w:tcPr>
            <w:tcW w:type="dxa" w:w="1700"/>
            <w:tcBorders>
              <w:top w:val="single" w:color="CCCCCC" w:sz="4"/>
              <w:left w:val="single" w:color="CCCCCC" w:sz="4"/>
              <w:bottom w:val="single" w:color="CCCCCC" w:sz="4"/>
              <w:right w:val="single" w:color="CCCCCC" w:sz="4"/>
            </w:tcBorders>
            <w:shd w:fill="D6EFD9"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1D6A3A"/>
                <w:sz w:val="20"/>
                <w:szCs w:val="20"/>
              </w:rPr>
              <w:t xml:space="preserve">GMV &gt; 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000000"/>
                <w:sz w:val="20"/>
                <w:szCs w:val="20"/>
              </w:rPr>
              <w:t xml:space="preserv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000000"/>
                <w:sz w:val="20"/>
                <w:szCs w:val="20"/>
              </w:rPr>
              <w:t xml:space="preserve">—</w:t>
            </w:r>
          </w:p>
        </w:tc>
        <w:tc>
          <w:tcPr>
            <w:tcW w:type="dxa" w:w="186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8B0000"/>
                <w:sz w:val="20"/>
                <w:szCs w:val="20"/>
              </w:rPr>
              <w:t xml:space="preserve">GMV = 0 o null</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Tickets (25%)</w:t>
            </w:r>
          </w:p>
        </w:tc>
        <w:tc>
          <w:tcPr>
            <w:tcW w:type="dxa" w:w="1700"/>
            <w:tcBorders>
              <w:top w:val="single" w:color="CCCCCC" w:sz="4"/>
              <w:left w:val="single" w:color="CCCCCC" w:sz="4"/>
              <w:bottom w:val="single" w:color="CCCCCC" w:sz="4"/>
              <w:right w:val="single" w:color="CCCCCC" w:sz="4"/>
            </w:tcBorders>
            <w:shd w:fill="D6EFD9"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1D6A3A"/>
                <w:sz w:val="20"/>
                <w:szCs w:val="20"/>
              </w:rPr>
              <w:t xml:space="preserve">0 tickets</w:t>
            </w:r>
          </w:p>
        </w:tc>
        <w:tc>
          <w:tcPr>
            <w:tcW w:type="dxa" w:w="1700"/>
            <w:tcBorders>
              <w:top w:val="single" w:color="CCCCCC" w:sz="4"/>
              <w:left w:val="single" w:color="CCCCCC" w:sz="4"/>
              <w:bottom w:val="single" w:color="CCCCCC" w:sz="4"/>
              <w:right w:val="single" w:color="CCCCCC" w:sz="4"/>
            </w:tcBorders>
            <w:shd w:fill="FFF8CC"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7A6200"/>
                <w:sz w:val="20"/>
                <w:szCs w:val="20"/>
              </w:rPr>
              <w:t xml:space="preserve">1-2 tickets</w:t>
            </w:r>
          </w:p>
        </w:tc>
        <w:tc>
          <w:tcPr>
            <w:tcW w:type="dxa" w:w="1700"/>
            <w:tcBorders>
              <w:top w:val="single" w:color="CCCCCC" w:sz="4"/>
              <w:left w:val="single" w:color="CCCCCC" w:sz="4"/>
              <w:bottom w:val="single" w:color="CCCCCC" w:sz="4"/>
              <w:right w:val="single" w:color="CCCCCC" w:sz="4"/>
            </w:tcBorders>
            <w:shd w:fill="FDE8D0"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9C4A00"/>
                <w:sz w:val="20"/>
                <w:szCs w:val="20"/>
              </w:rPr>
              <w:t xml:space="preserve">3-4 tickets</w:t>
            </w:r>
          </w:p>
        </w:tc>
        <w:tc>
          <w:tcPr>
            <w:tcW w:type="dxa" w:w="186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8B0000"/>
                <w:sz w:val="20"/>
                <w:szCs w:val="20"/>
              </w:rPr>
              <w:t xml:space="preserve">&gt;= 5 tickets</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Use Points (20%)</w:t>
            </w:r>
          </w:p>
        </w:tc>
        <w:tc>
          <w:tcPr>
            <w:tcW w:type="dxa" w:w="1700"/>
            <w:tcBorders>
              <w:top w:val="single" w:color="CCCCCC" w:sz="4"/>
              <w:left w:val="single" w:color="CCCCCC" w:sz="4"/>
              <w:bottom w:val="single" w:color="CCCCCC" w:sz="4"/>
              <w:right w:val="single" w:color="CCCCCC" w:sz="4"/>
            </w:tcBorders>
            <w:shd w:fill="D6EFD9"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1D6A3A"/>
                <w:sz w:val="20"/>
                <w:szCs w:val="20"/>
              </w:rPr>
              <w:t xml:space="preserve">qtUp &gt;= plan x 0.8</w:t>
            </w:r>
          </w:p>
        </w:tc>
        <w:tc>
          <w:tcPr>
            <w:tcW w:type="dxa" w:w="1700"/>
            <w:tcBorders>
              <w:top w:val="single" w:color="CCCCCC" w:sz="4"/>
              <w:left w:val="single" w:color="CCCCCC" w:sz="4"/>
              <w:bottom w:val="single" w:color="CCCCCC" w:sz="4"/>
              <w:right w:val="single" w:color="CCCCCC" w:sz="4"/>
            </w:tcBorders>
            <w:shd w:fill="FFF8CC"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7A6200"/>
                <w:sz w:val="20"/>
                <w:szCs w:val="20"/>
              </w:rPr>
              <w:t xml:space="preserve">qtUp &gt;= plan x 0.5</w:t>
            </w:r>
          </w:p>
        </w:tc>
        <w:tc>
          <w:tcPr>
            <w:tcW w:type="dxa" w:w="1700"/>
            <w:tcBorders>
              <w:top w:val="single" w:color="CCCCCC" w:sz="4"/>
              <w:left w:val="single" w:color="CCCCCC" w:sz="4"/>
              <w:bottom w:val="single" w:color="CCCCCC" w:sz="4"/>
              <w:right w:val="single" w:color="CCCCCC" w:sz="4"/>
            </w:tcBorders>
            <w:shd w:fill="FDE8D0"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9C4A00"/>
                <w:sz w:val="20"/>
                <w:szCs w:val="20"/>
              </w:rPr>
              <w:t xml:space="preserve">qtUp &gt; 0</w:t>
            </w:r>
          </w:p>
        </w:tc>
        <w:tc>
          <w:tcPr>
            <w:tcW w:type="dxa" w:w="186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8B0000"/>
                <w:sz w:val="20"/>
                <w:szCs w:val="20"/>
              </w:rPr>
              <w:t xml:space="preserve">qtUp = 0</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NPS (15%)</w:t>
            </w:r>
          </w:p>
        </w:tc>
        <w:tc>
          <w:tcPr>
            <w:tcW w:type="dxa" w:w="1700"/>
            <w:tcBorders>
              <w:top w:val="single" w:color="CCCCCC" w:sz="4"/>
              <w:left w:val="single" w:color="CCCCCC" w:sz="4"/>
              <w:bottom w:val="single" w:color="CCCCCC" w:sz="4"/>
              <w:right w:val="single" w:color="CCCCCC" w:sz="4"/>
            </w:tcBorders>
            <w:shd w:fill="D6EFD9"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1D6A3A"/>
                <w:sz w:val="20"/>
                <w:szCs w:val="20"/>
              </w:rPr>
              <w:t xml:space="preserve">NPS &gt;= 50</w:t>
            </w:r>
          </w:p>
        </w:tc>
        <w:tc>
          <w:tcPr>
            <w:tcW w:type="dxa" w:w="1700"/>
            <w:tcBorders>
              <w:top w:val="single" w:color="CCCCCC" w:sz="4"/>
              <w:left w:val="single" w:color="CCCCCC" w:sz="4"/>
              <w:bottom w:val="single" w:color="CCCCCC" w:sz="4"/>
              <w:right w:val="single" w:color="CCCCCC" w:sz="4"/>
            </w:tcBorders>
            <w:shd w:fill="FFF8CC"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7A6200"/>
                <w:sz w:val="20"/>
                <w:szCs w:val="20"/>
              </w:rPr>
              <w:t xml:space="preserve">NPS &gt;= 0</w:t>
            </w:r>
          </w:p>
        </w:tc>
        <w:tc>
          <w:tcPr>
            <w:tcW w:type="dxa" w:w="1700"/>
            <w:tcBorders>
              <w:top w:val="single" w:color="CCCCCC" w:sz="4"/>
              <w:left w:val="single" w:color="CCCCCC" w:sz="4"/>
              <w:bottom w:val="single" w:color="CCCCCC" w:sz="4"/>
              <w:right w:val="single" w:color="CCCCCC" w:sz="4"/>
            </w:tcBorders>
            <w:shd w:fill="FDE8D0"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9C4A00"/>
                <w:sz w:val="20"/>
                <w:szCs w:val="20"/>
              </w:rPr>
              <w:t xml:space="preserve">NPS &gt;= -50</w:t>
            </w:r>
          </w:p>
        </w:tc>
        <w:tc>
          <w:tcPr>
            <w:tcW w:type="dxa" w:w="186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8B0000"/>
                <w:sz w:val="20"/>
                <w:szCs w:val="20"/>
              </w:rPr>
              <w:t xml:space="preserve">NPS &lt; -50</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Ultimo contacto (15%)</w:t>
            </w:r>
          </w:p>
        </w:tc>
        <w:tc>
          <w:tcPr>
            <w:tcW w:type="dxa" w:w="1700"/>
            <w:tcBorders>
              <w:top w:val="single" w:color="CCCCCC" w:sz="4"/>
              <w:left w:val="single" w:color="CCCCCC" w:sz="4"/>
              <w:bottom w:val="single" w:color="CCCCCC" w:sz="4"/>
              <w:right w:val="single" w:color="CCCCCC" w:sz="4"/>
            </w:tcBorders>
            <w:shd w:fill="D6EFD9"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1D6A3A"/>
                <w:sz w:val="20"/>
                <w:szCs w:val="20"/>
              </w:rPr>
              <w:t xml:space="preserve">&lt;= 30 dias</w:t>
            </w:r>
          </w:p>
        </w:tc>
        <w:tc>
          <w:tcPr>
            <w:tcW w:type="dxa" w:w="1700"/>
            <w:tcBorders>
              <w:top w:val="single" w:color="CCCCCC" w:sz="4"/>
              <w:left w:val="single" w:color="CCCCCC" w:sz="4"/>
              <w:bottom w:val="single" w:color="CCCCCC" w:sz="4"/>
              <w:right w:val="single" w:color="CCCCCC" w:sz="4"/>
            </w:tcBorders>
            <w:shd w:fill="FFF8CC"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7A6200"/>
                <w:sz w:val="20"/>
                <w:szCs w:val="20"/>
              </w:rPr>
              <w:t xml:space="preserve">&lt;= 60 dias</w:t>
            </w:r>
          </w:p>
        </w:tc>
        <w:tc>
          <w:tcPr>
            <w:tcW w:type="dxa" w:w="1700"/>
            <w:tcBorders>
              <w:top w:val="single" w:color="CCCCCC" w:sz="4"/>
              <w:left w:val="single" w:color="CCCCCC" w:sz="4"/>
              <w:bottom w:val="single" w:color="CCCCCC" w:sz="4"/>
              <w:right w:val="single" w:color="CCCCCC" w:sz="4"/>
            </w:tcBorders>
            <w:shd w:fill="FDE8D0"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9C4A00"/>
                <w:sz w:val="20"/>
                <w:szCs w:val="20"/>
              </w:rPr>
              <w:t xml:space="preserve">&lt;= 90 dias</w:t>
            </w:r>
          </w:p>
        </w:tc>
        <w:tc>
          <w:tcPr>
            <w:tcW w:type="dxa" w:w="186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8B0000"/>
                <w:sz w:val="20"/>
                <w:szCs w:val="20"/>
              </w:rPr>
              <w:t xml:space="preserve">&gt; 90 dias o null</w:t>
            </w:r>
          </w:p>
        </w:tc>
      </w:tr>
    </w:tbl>
    <w:p>
      <w:pPr>
        <w:spacing w:after="120" w:before="0"/>
      </w:pPr>
      <w:r>
        <w:t xml:space="preserve"/>
      </w:r>
    </w:p>
    <w:p>
      <w:pPr>
        <w:pStyle w:val="Heading2"/>
        <w:spacing w:after="100" w:before="220"/>
      </w:pPr>
      <w:r>
        <w:rPr>
          <w:rFonts w:ascii="Calibri" w:cs="Calibri" w:eastAsia="Calibri" w:hAnsi="Calibri"/>
          <w:b/>
          <w:bCs/>
          <w:color w:val="1A4B8C"/>
          <w:sz w:val="26"/>
          <w:szCs w:val="26"/>
        </w:rPr>
        <w:t xml:space="preserve">4.2  Semáforo de 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960"/>
        <w:gridCol w:w="3600"/>
      </w:tblGrid>
      <w:tr>
        <w:trPr>
          <w:tblHeader/>
        </w:trPr>
        <w:tc>
          <w:tcPr>
            <w:tcW w:type="dxa" w:w="13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Score</w:t>
            </w:r>
          </w:p>
        </w:tc>
        <w:tc>
          <w:tcPr>
            <w:tcW w:type="dxa" w:w="15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Estado</w:t>
            </w:r>
          </w:p>
        </w:tc>
        <w:tc>
          <w:tcPr>
            <w:tcW w:type="dxa" w:w="296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Diagnóstico</w:t>
            </w:r>
          </w:p>
        </w:tc>
        <w:tc>
          <w:tcPr>
            <w:tcW w:type="dxa" w:w="36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Acción obligatoria del CSM</w:t>
            </w:r>
          </w:p>
        </w:tc>
      </w:tr>
      <w:tr>
        <w:tc>
          <w:tcPr>
            <w:tcW w:type="dxa" w:w="1300"/>
            <w:tcBorders>
              <w:top w:val="single" w:color="CCCCCC" w:sz="4"/>
              <w:left w:val="single" w:color="CCCCCC" w:sz="4"/>
              <w:bottom w:val="single" w:color="CCCCCC" w:sz="4"/>
              <w:right w:val="single" w:color="CCCCCC" w:sz="4"/>
            </w:tcBorders>
            <w:shd w:fill="D6EFD9"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1D6A3A"/>
                <w:sz w:val="20"/>
                <w:szCs w:val="20"/>
              </w:rPr>
              <w:t xml:space="preserve">&gt;= 70</w:t>
            </w:r>
          </w:p>
        </w:tc>
        <w:tc>
          <w:tcPr>
            <w:tcW w:type="dxa" w:w="1500"/>
            <w:tcBorders>
              <w:top w:val="single" w:color="CCCCCC" w:sz="4"/>
              <w:left w:val="single" w:color="CCCCCC" w:sz="4"/>
              <w:bottom w:val="single" w:color="CCCCCC" w:sz="4"/>
              <w:right w:val="single" w:color="CCCCCC" w:sz="4"/>
            </w:tcBorders>
            <w:shd w:fill="D6EFD9"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1D6A3A"/>
                <w:sz w:val="20"/>
                <w:szCs w:val="20"/>
              </w:rPr>
              <w:t xml:space="preserve">Verde</w:t>
            </w:r>
          </w:p>
        </w:tc>
        <w:tc>
          <w:tcPr>
            <w:tcW w:type="dxa" w:w="2960"/>
            <w:tcBorders>
              <w:top w:val="single" w:color="CCCCCC" w:sz="4"/>
              <w:left w:val="single" w:color="CCCCCC" w:sz="4"/>
              <w:bottom w:val="single" w:color="CCCCCC" w:sz="4"/>
              <w:right w:val="single" w:color="CCCCCC" w:sz="4"/>
            </w:tcBorders>
            <w:shd w:fill="D6EFD9"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D6A3A"/>
                <w:sz w:val="20"/>
                <w:szCs w:val="20"/>
              </w:rPr>
              <w:t xml:space="preserve">Cuenta saludable, activa, sin señales de riesgo.</w:t>
            </w:r>
          </w:p>
        </w:tc>
        <w:tc>
          <w:tcPr>
            <w:tcW w:type="dxa" w:w="3600"/>
            <w:tcBorders>
              <w:top w:val="single" w:color="CCCCCC" w:sz="4"/>
              <w:left w:val="single" w:color="CCCCCC" w:sz="4"/>
              <w:bottom w:val="single" w:color="CCCCCC" w:sz="4"/>
              <w:right w:val="single" w:color="CCCCCC" w:sz="4"/>
            </w:tcBorders>
            <w:shd w:fill="D6EFD9"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D6A3A"/>
                <w:sz w:val="20"/>
                <w:szCs w:val="20"/>
              </w:rPr>
              <w:t xml:space="preserve">Mantener cadencia. Identificar oportunidad de expansión. Planificar QBR.</w:t>
            </w:r>
          </w:p>
        </w:tc>
      </w:tr>
      <w:tr>
        <w:tc>
          <w:tcPr>
            <w:tcW w:type="dxa" w:w="1300"/>
            <w:tcBorders>
              <w:top w:val="single" w:color="CCCCCC" w:sz="4"/>
              <w:left w:val="single" w:color="CCCCCC" w:sz="4"/>
              <w:bottom w:val="single" w:color="CCCCCC" w:sz="4"/>
              <w:right w:val="single" w:color="CCCCCC" w:sz="4"/>
            </w:tcBorders>
            <w:shd w:fill="FFF8CC"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7A6200"/>
                <w:sz w:val="20"/>
                <w:szCs w:val="20"/>
              </w:rPr>
              <w:t xml:space="preserve">50-69</w:t>
            </w:r>
          </w:p>
        </w:tc>
        <w:tc>
          <w:tcPr>
            <w:tcW w:type="dxa" w:w="1500"/>
            <w:tcBorders>
              <w:top w:val="single" w:color="CCCCCC" w:sz="4"/>
              <w:left w:val="single" w:color="CCCCCC" w:sz="4"/>
              <w:bottom w:val="single" w:color="CCCCCC" w:sz="4"/>
              <w:right w:val="single" w:color="CCCCCC" w:sz="4"/>
            </w:tcBorders>
            <w:shd w:fill="FFF8CC"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7A6200"/>
                <w:sz w:val="20"/>
                <w:szCs w:val="20"/>
              </w:rPr>
              <w:t xml:space="preserve">Amarillo</w:t>
            </w:r>
          </w:p>
        </w:tc>
        <w:tc>
          <w:tcPr>
            <w:tcW w:type="dxa" w:w="2960"/>
            <w:tcBorders>
              <w:top w:val="single" w:color="CCCCCC" w:sz="4"/>
              <w:left w:val="single" w:color="CCCCCC" w:sz="4"/>
              <w:bottom w:val="single" w:color="CCCCCC" w:sz="4"/>
              <w:right w:val="single" w:color="CCCCCC" w:sz="4"/>
            </w:tcBorders>
            <w:shd w:fill="FFF8C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7A6200"/>
                <w:sz w:val="20"/>
                <w:szCs w:val="20"/>
              </w:rPr>
              <w:t xml:space="preserve">Señal de alerta. Al menos un KPI bajo el umbral óptimo.</w:t>
            </w:r>
          </w:p>
        </w:tc>
        <w:tc>
          <w:tcPr>
            <w:tcW w:type="dxa" w:w="3600"/>
            <w:tcBorders>
              <w:top w:val="single" w:color="CCCCCC" w:sz="4"/>
              <w:left w:val="single" w:color="CCCCCC" w:sz="4"/>
              <w:bottom w:val="single" w:color="CCCCCC" w:sz="4"/>
              <w:right w:val="single" w:color="CCCCCC" w:sz="4"/>
            </w:tcBorders>
            <w:shd w:fill="FFF8C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7A6200"/>
                <w:sz w:val="20"/>
                <w:szCs w:val="20"/>
              </w:rPr>
              <w:t xml:space="preserve">Check-in esta semana. Diagnosticar KPI comprometido. Acción correctiva en 15 días.</w:t>
            </w:r>
          </w:p>
        </w:tc>
      </w:tr>
      <w:tr>
        <w:tc>
          <w:tcPr>
            <w:tcW w:type="dxa" w:w="1300"/>
            <w:tcBorders>
              <w:top w:val="single" w:color="CCCCCC" w:sz="4"/>
              <w:left w:val="single" w:color="CCCCCC" w:sz="4"/>
              <w:bottom w:val="single" w:color="CCCCCC" w:sz="4"/>
              <w:right w:val="single" w:color="CCCCCC" w:sz="4"/>
            </w:tcBorders>
            <w:shd w:fill="FDE8D0"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9C4A00"/>
                <w:sz w:val="20"/>
                <w:szCs w:val="20"/>
              </w:rPr>
              <w:t xml:space="preserve">30-49</w:t>
            </w:r>
          </w:p>
        </w:tc>
        <w:tc>
          <w:tcPr>
            <w:tcW w:type="dxa" w:w="1500"/>
            <w:tcBorders>
              <w:top w:val="single" w:color="CCCCCC" w:sz="4"/>
              <w:left w:val="single" w:color="CCCCCC" w:sz="4"/>
              <w:bottom w:val="single" w:color="CCCCCC" w:sz="4"/>
              <w:right w:val="single" w:color="CCCCCC" w:sz="4"/>
            </w:tcBorders>
            <w:shd w:fill="FDE8D0"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9C4A00"/>
                <w:sz w:val="20"/>
                <w:szCs w:val="20"/>
              </w:rPr>
              <w:t xml:space="preserve">Naranja</w:t>
            </w:r>
          </w:p>
        </w:tc>
        <w:tc>
          <w:tcPr>
            <w:tcW w:type="dxa" w:w="2960"/>
            <w:tcBorders>
              <w:top w:val="single" w:color="CCCCCC" w:sz="4"/>
              <w:left w:val="single" w:color="CCCCCC" w:sz="4"/>
              <w:bottom w:val="single" w:color="CCCCCC" w:sz="4"/>
              <w:right w:val="single" w:color="CCCCCC" w:sz="4"/>
            </w:tcBorders>
            <w:shd w:fill="FDE8D0"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9C4A00"/>
                <w:sz w:val="20"/>
                <w:szCs w:val="20"/>
              </w:rPr>
              <w:t xml:space="preserve">Riesgo activo. Múltiples KPIs comprometidos. Posible churn en 90 días.</w:t>
            </w:r>
          </w:p>
        </w:tc>
        <w:tc>
          <w:tcPr>
            <w:tcW w:type="dxa" w:w="3600"/>
            <w:tcBorders>
              <w:top w:val="single" w:color="CCCCCC" w:sz="4"/>
              <w:left w:val="single" w:color="CCCCCC" w:sz="4"/>
              <w:bottom w:val="single" w:color="CCCCCC" w:sz="4"/>
              <w:right w:val="single" w:color="CCCCCC" w:sz="4"/>
            </w:tcBorders>
            <w:shd w:fill="FDE8D0"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9C4A00"/>
                <w:sz w:val="20"/>
                <w:szCs w:val="20"/>
              </w:rPr>
              <w:t xml:space="preserve">Intervención urgente esta semana. Involucrar sponsor. Escalar si hay bug crítico.</w:t>
            </w:r>
          </w:p>
        </w:tc>
      </w:tr>
      <w:tr>
        <w:tc>
          <w:tcPr>
            <w:tcW w:type="dxa" w:w="13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8B0000"/>
                <w:sz w:val="20"/>
                <w:szCs w:val="20"/>
              </w:rPr>
              <w:t xml:space="preserve">&lt; 30</w:t>
            </w:r>
          </w:p>
        </w:tc>
        <w:tc>
          <w:tcPr>
            <w:tcW w:type="dxa" w:w="15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8B0000"/>
                <w:sz w:val="20"/>
                <w:szCs w:val="20"/>
              </w:rPr>
              <w:t xml:space="preserve">Rojo</w:t>
            </w:r>
          </w:p>
        </w:tc>
        <w:tc>
          <w:tcPr>
            <w:tcW w:type="dxa" w:w="296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8B0000"/>
                <w:sz w:val="20"/>
                <w:szCs w:val="20"/>
              </w:rPr>
              <w:t xml:space="preserve">Crisis. Alta probabilidad de churn o cancelación activa.</w:t>
            </w:r>
          </w:p>
        </w:tc>
        <w:tc>
          <w:tcPr>
            <w:tcW w:type="dxa" w:w="36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8B0000"/>
                <w:sz w:val="20"/>
                <w:szCs w:val="20"/>
              </w:rPr>
              <w:t xml:space="preserve">Escalamiento al Director. War room con Soporte y Producto. Reunión ejecutiva &lt; 48h.</w:t>
            </w:r>
          </w:p>
        </w:tc>
      </w:tr>
    </w:tbl>
    <w:p>
      <w:pPr>
        <w:spacing w:after="120" w:before="0"/>
      </w:pPr>
      <w:r>
        <w:t xml:space="preserve"/>
      </w:r>
    </w:p>
    <w:p>
      <w:pPr>
        <w:pStyle w:val="Heading2"/>
        <w:spacing w:after="100" w:before="220"/>
      </w:pPr>
      <w:r>
        <w:rPr>
          <w:rFonts w:ascii="Calibri" w:cs="Calibri" w:eastAsia="Calibri" w:hAnsi="Calibri"/>
          <w:b/>
          <w:bCs/>
          <w:color w:val="1A4B8C"/>
          <w:sz w:val="26"/>
          <w:szCs w:val="26"/>
        </w:rPr>
        <w:t xml:space="preserve">4.3  Penalizaciones por datos faltantes</w:t>
      </w:r>
    </w:p>
    <w:p>
      <w:pPr>
        <w:spacing w:after="100" w:before="120"/>
        <w:jc w:val="left"/>
      </w:pPr>
      <w:r>
        <w:rPr>
          <w:rFonts w:ascii="Calibri" w:cs="Calibri" w:eastAsia="Calibri" w:hAnsi="Calibri"/>
          <w:b w:val="false"/>
          <w:bCs w:val="false"/>
          <w:i w:val="false"/>
          <w:iCs w:val="false"/>
          <w:color w:val="2D3748"/>
          <w:sz w:val="21"/>
          <w:szCs w:val="21"/>
        </w:rPr>
        <w:t xml:space="preserve">Si hay 3 o más campos en null: −15 puntos al score final.</w:t>
      </w:r>
    </w:p>
    <w:p>
      <w:pPr>
        <w:spacing w:after="100" w:before="120"/>
        <w:jc w:val="left"/>
      </w:pPr>
      <w:r>
        <w:rPr>
          <w:rFonts w:ascii="Calibri" w:cs="Calibri" w:eastAsia="Calibri" w:hAnsi="Calibri"/>
          <w:b w:val="false"/>
          <w:bCs w:val="false"/>
          <w:i w:val="false"/>
          <w:iCs w:val="false"/>
          <w:color w:val="2D3748"/>
          <w:sz w:val="21"/>
          <w:szCs w:val="21"/>
        </w:rPr>
        <w:t xml:space="preserve">Si hay 2 campos en null: −5 puntos al score final.</w:t>
      </w:r>
    </w:p>
    <w:p>
      <w:pPr>
        <w:spacing w:after="100" w:before="120"/>
        <w:jc w:val="left"/>
      </w:pPr>
      <w:r>
        <w:rPr>
          <w:rFonts w:ascii="Calibri" w:cs="Calibri" w:eastAsia="Calibri" w:hAnsi="Calibri"/>
          <w:b/>
          <w:bCs/>
          <w:i w:val="false"/>
          <w:iCs w:val="false"/>
          <w:color w:val="8B0000"/>
          <w:sz w:val="21"/>
          <w:szCs w:val="21"/>
        </w:rPr>
        <w:t xml:space="preserve">Si falta alguno de los 5 componentes: healthScore = null. No se publica un score parcial.</w:t>
      </w:r>
    </w:p>
    <w:p>
      <w:r>
        <w:br w:type="page"/>
      </w:r>
    </w:p>
    <w:p>
      <w:pPr>
        <w:pStyle w:val="Heading1"/>
        <w:spacing w:after="160" w:before="320"/>
      </w:pPr>
      <w:r>
        <w:rPr>
          <w:rFonts w:ascii="Calibri" w:cs="Calibri" w:eastAsia="Calibri" w:hAnsi="Calibri"/>
          <w:b/>
          <w:bCs/>
          <w:color w:val="0D2137"/>
          <w:sz w:val="32"/>
          <w:szCs w:val="32"/>
        </w:rPr>
        <w:t xml:space="preserve">5. Cómo mejorar el Health Score</w:t>
      </w:r>
    </w:p>
    <w:p>
      <w:pPr>
        <w:spacing w:after="100" w:before="120"/>
        <w:jc w:val="left"/>
      </w:pPr>
      <w:r>
        <w:rPr>
          <w:rFonts w:ascii="Calibri" w:cs="Calibri" w:eastAsia="Calibri" w:hAnsi="Calibri"/>
          <w:b w:val="false"/>
          <w:bCs w:val="false"/>
          <w:i w:val="false"/>
          <w:iCs w:val="false"/>
          <w:color w:val="2D3748"/>
          <w:sz w:val="22"/>
          <w:szCs w:val="22"/>
        </w:rPr>
        <w:t xml:space="preserve">Esta sección traduce el modelo en acciones concretas. Para cada KPI, el CSM tiene palancas reales que puede activar dentro de los primeros 30 días.</w:t>
      </w:r>
    </w:p>
    <w:p>
      <w:pPr>
        <w:spacing w:after="120" w:before="0"/>
      </w:pPr>
      <w:r>
        <w:t xml:space="preserve"/>
      </w:r>
    </w:p>
    <w:p>
      <w:pPr>
        <w:pStyle w:val="Heading2"/>
        <w:spacing w:after="100" w:before="220"/>
      </w:pPr>
      <w:r>
        <w:rPr>
          <w:rFonts w:ascii="Calibri" w:cs="Calibri" w:eastAsia="Calibri" w:hAnsi="Calibri"/>
          <w:b/>
          <w:bCs/>
          <w:color w:val="1A4B8C"/>
          <w:sz w:val="26"/>
          <w:szCs w:val="26"/>
        </w:rPr>
        <w:t xml:space="preserve">5.1  Mejorar GMV — de rojo a verde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Causa raíz más frecuente</w:t>
            </w:r>
          </w:p>
        </w:tc>
        <w:tc>
          <w:tcPr>
            <w:tcW w:type="dxa" w:w="636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Acción del CSM</w:t>
            </w:r>
          </w:p>
        </w:tc>
      </w:tr>
      <w:tr>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Publicaciones inactivas o sin stock</w:t>
            </w:r>
          </w:p>
        </w:tc>
        <w:tc>
          <w:tcPr>
            <w:tcW w:type="dxa" w:w="6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Revisar catálogo en AnyMarket. Identificar SKUs sin stock o sin publicación activa. Coordinar con el cliente para reactivar las publicaciones.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Error de transmisión a marketplace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Revisar logs de errores en AnyMarket. Abrir ticket en Zendesk con causa raíz. Dar seguimiento hasta resolución con SLA claro.</w:t>
            </w:r>
          </w:p>
        </w:tc>
      </w:tr>
      <w:tr>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Cliente no usa los canales de venta correctos</w:t>
            </w:r>
          </w:p>
        </w:tc>
        <w:tc>
          <w:tcPr>
            <w:tcW w:type="dxa" w:w="6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Analizar qué marketplaces tiene activos vs. disponibles en su región. Proponer activación de nuevos canales: Mercado Libre, Falabella, Ripley, Walmart.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Problema de pricing / competitividad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Introducir Repricing (AnyTools) o WinnerBox para automatizar precios y mejorar el GMV sin aumentar el catálogo.</w:t>
            </w:r>
          </w:p>
        </w:tc>
      </w:tr>
    </w:tbl>
    <w:p>
      <w:pPr>
        <w:spacing w:after="120" w:before="0"/>
      </w:pPr>
      <w:r>
        <w:t xml:space="preserve"/>
      </w:r>
    </w:p>
    <w:p>
      <w:pPr>
        <w:pStyle w:val="Heading2"/>
        <w:spacing w:after="100" w:before="220"/>
      </w:pPr>
      <w:r>
        <w:rPr>
          <w:rFonts w:ascii="Calibri" w:cs="Calibri" w:eastAsia="Calibri" w:hAnsi="Calibri"/>
          <w:b/>
          <w:bCs/>
          <w:color w:val="1A4B8C"/>
          <w:sz w:val="26"/>
          <w:szCs w:val="26"/>
        </w:rPr>
        <w:t xml:space="preserve">5.2  Reducir tickets — de rojo a verde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Situación</w:t>
            </w:r>
          </w:p>
        </w:tc>
        <w:tc>
          <w:tcPr>
            <w:tcW w:type="dxa" w:w="636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Acción del CSM</w:t>
            </w:r>
          </w:p>
        </w:tc>
      </w:tr>
      <w:tr>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Bug crítico sin resolución</w:t>
            </w:r>
          </w:p>
        </w:tc>
        <w:tc>
          <w:tcPr>
            <w:tcW w:type="dxa" w:w="6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Escalar a Producto con documentación de impacto financiero. Coordinar War Room si el bug afecta el GMV del cliente. Actualizar al cliente con fechas reales.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Tickets recurrentes del mismo problema</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Analizar la causa raíz con los 5 Whys. Si el problema es estructural, levantar un proyecto a Producto. Si es de uso, hacer una sesión de capacitación con el cliente.</w:t>
            </w:r>
          </w:p>
        </w:tc>
      </w:tr>
      <w:tr>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Cliente abre tickets por funcionalidades básicas</w:t>
            </w:r>
          </w:p>
        </w:tc>
        <w:tc>
          <w:tcPr>
            <w:tcW w:type="dxa" w:w="6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Señal de baja adopción. Programar sesión de formación. Compartir recursos de la base de conocimiento. Revisar si el cliente necesita onboarding adicional.</w:t>
            </w:r>
          </w:p>
        </w:tc>
      </w:tr>
    </w:tbl>
    <w:p>
      <w:pPr>
        <w:spacing w:after="120" w:before="0"/>
      </w:pPr>
      <w:r>
        <w:t xml:space="preserve"/>
      </w:r>
    </w:p>
    <w:p>
      <w:pPr>
        <w:pStyle w:val="Heading2"/>
        <w:spacing w:after="100" w:before="220"/>
      </w:pPr>
      <w:r>
        <w:rPr>
          <w:rFonts w:ascii="Calibri" w:cs="Calibri" w:eastAsia="Calibri" w:hAnsi="Calibri"/>
          <w:b/>
          <w:bCs/>
          <w:color w:val="1A4B8C"/>
          <w:sz w:val="26"/>
          <w:szCs w:val="26"/>
        </w:rPr>
        <w:t xml:space="preserve">5.3  Aumentar adopción (Use Points) — de rojo a verde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Nivel de adopción</w:t>
            </w:r>
          </w:p>
        </w:tc>
        <w:tc>
          <w:tcPr>
            <w:tcW w:type="dxa" w:w="636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Acción del CSM</w:t>
            </w:r>
          </w:p>
        </w:tc>
      </w:tr>
      <w:tr>
        <w:tc>
          <w:tcPr>
            <w:tcW w:type="dxa" w:w="30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vAlign w:val="center"/>
          </w:tcPr>
          <w:p>
            <w:pPr>
              <w:jc w:val="left"/>
            </w:pPr>
            <w:r>
              <w:rPr>
                <w:rFonts w:ascii="Calibri" w:cs="Calibri" w:eastAsia="Calibri" w:hAnsi="Calibri"/>
                <w:b/>
                <w:bCs/>
                <w:i w:val="false"/>
                <w:iCs w:val="false"/>
                <w:color w:val="8B0000"/>
                <w:sz w:val="20"/>
                <w:szCs w:val="20"/>
              </w:rPr>
              <w:t xml:space="preserve">0% — no usa ningún Use Point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Intervención urgente. El cliente no está activado. Revisar si completó el onboarding. Programar sesión de activación en la próxima semana.</w:t>
            </w:r>
          </w:p>
        </w:tc>
      </w:tr>
      <w:tr>
        <w:tc>
          <w:tcPr>
            <w:tcW w:type="dxa" w:w="3000"/>
            <w:tcBorders>
              <w:top w:val="single" w:color="CCCCCC" w:sz="4"/>
              <w:left w:val="single" w:color="CCCCCC" w:sz="4"/>
              <w:bottom w:val="single" w:color="CCCCCC" w:sz="4"/>
              <w:right w:val="single" w:color="CCCCCC" w:sz="4"/>
            </w:tcBorders>
            <w:shd w:fill="FDE8D0" w:val="clear"/>
            <w:tcMar>
              <w:top w:type="dxa" w:w="80"/>
              <w:left w:type="dxa" w:w="120"/>
              <w:bottom w:type="dxa" w:w="80"/>
              <w:right w:type="dxa" w:w="120"/>
            </w:tcMar>
            <w:vAlign w:val="center"/>
          </w:tcPr>
          <w:p>
            <w:pPr>
              <w:jc w:val="left"/>
            </w:pPr>
            <w:r>
              <w:rPr>
                <w:rFonts w:ascii="Calibri" w:cs="Calibri" w:eastAsia="Calibri" w:hAnsi="Calibri"/>
                <w:b/>
                <w:bCs/>
                <w:i w:val="false"/>
                <w:iCs w:val="false"/>
                <w:color w:val="9C4A00"/>
                <w:sz w:val="20"/>
                <w:szCs w:val="20"/>
              </w:rPr>
              <w:t xml:space="preserve">1-50% — uso parcial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Identificar qué funcionalidades no está usando y por qué. Hacer demo de las funcionalidades no activadas con casos de éxito de clientes similares.</w:t>
            </w:r>
          </w:p>
        </w:tc>
      </w:tr>
      <w:tr>
        <w:tc>
          <w:tcPr>
            <w:tcW w:type="dxa" w:w="3000"/>
            <w:tcBorders>
              <w:top w:val="single" w:color="CCCCCC" w:sz="4"/>
              <w:left w:val="single" w:color="CCCCCC" w:sz="4"/>
              <w:bottom w:val="single" w:color="CCCCCC" w:sz="4"/>
              <w:right w:val="single" w:color="CCCCCC" w:sz="4"/>
            </w:tcBorders>
            <w:shd w:fill="FFF8CC" w:val="clear"/>
            <w:tcMar>
              <w:top w:type="dxa" w:w="80"/>
              <w:left w:type="dxa" w:w="120"/>
              <w:bottom w:type="dxa" w:w="80"/>
              <w:right w:type="dxa" w:w="120"/>
            </w:tcMar>
            <w:vAlign w:val="center"/>
          </w:tcPr>
          <w:p>
            <w:pPr>
              <w:jc w:val="left"/>
            </w:pPr>
            <w:r>
              <w:rPr>
                <w:rFonts w:ascii="Calibri" w:cs="Calibri" w:eastAsia="Calibri" w:hAnsi="Calibri"/>
                <w:b/>
                <w:bCs/>
                <w:i w:val="false"/>
                <w:iCs w:val="false"/>
                <w:color w:val="7A6200"/>
                <w:sz w:val="20"/>
                <w:szCs w:val="20"/>
              </w:rPr>
              <w:t xml:space="preserve">50-80% — uso medio</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Proponer la activación de la siguiente funcionalidad más relevante para su operación. Conectar con el roadmap de producto para anticipar features futuras.</w:t>
            </w:r>
          </w:p>
        </w:tc>
      </w:tr>
      <w:tr>
        <w:tc>
          <w:tcPr>
            <w:tcW w:type="dxa" w:w="3000"/>
            <w:tcBorders>
              <w:top w:val="single" w:color="CCCCCC" w:sz="4"/>
              <w:left w:val="single" w:color="CCCCCC" w:sz="4"/>
              <w:bottom w:val="single" w:color="CCCCCC" w:sz="4"/>
              <w:right w:val="single" w:color="CCCCCC" w:sz="4"/>
            </w:tcBorders>
            <w:shd w:fill="D6EFD9" w:val="clear"/>
            <w:tcMar>
              <w:top w:type="dxa" w:w="80"/>
              <w:left w:type="dxa" w:w="120"/>
              <w:bottom w:type="dxa" w:w="80"/>
              <w:right w:type="dxa" w:w="120"/>
            </w:tcMar>
            <w:vAlign w:val="center"/>
          </w:tcPr>
          <w:p>
            <w:pPr>
              <w:jc w:val="left"/>
            </w:pPr>
            <w:r>
              <w:rPr>
                <w:rFonts w:ascii="Calibri" w:cs="Calibri" w:eastAsia="Calibri" w:hAnsi="Calibri"/>
                <w:b/>
                <w:bCs/>
                <w:i w:val="false"/>
                <w:iCs w:val="false"/>
                <w:color w:val="1D6A3A"/>
                <w:sz w:val="20"/>
                <w:szCs w:val="20"/>
              </w:rPr>
              <w:t xml:space="preserve">&gt;= 80% — uso alto</w:t>
            </w:r>
          </w:p>
        </w:tc>
        <w:tc>
          <w:tcPr>
            <w:tcW w:type="dxa" w:w="6360"/>
            <w:tcBorders>
              <w:top w:val="single" w:color="CCCCCC" w:sz="4"/>
              <w:left w:val="single" w:color="CCCCCC" w:sz="4"/>
              <w:bottom w:val="single" w:color="CCCCCC" w:sz="4"/>
              <w:right w:val="single" w:color="CCCCCC" w:sz="4"/>
            </w:tcBorders>
            <w:shd w:fill="D6EFD9"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D6A3A"/>
                <w:sz w:val="20"/>
                <w:szCs w:val="20"/>
              </w:rPr>
              <w:t xml:space="preserve">Caso de expansión: el cliente necesita más funcionalidades. Proponer upgrade del plan o nuevos módulos AnyTools. Documentar como caso de éxito.</w:t>
            </w:r>
          </w:p>
        </w:tc>
      </w:tr>
    </w:tbl>
    <w:p>
      <w:pPr>
        <w:spacing w:after="120" w:before="0"/>
      </w:pPr>
      <w:r>
        <w:t xml:space="preserve"/>
      </w:r>
    </w:p>
    <w:p>
      <w:pPr>
        <w:pStyle w:val="Heading2"/>
        <w:spacing w:after="100" w:before="220"/>
      </w:pPr>
      <w:r>
        <w:rPr>
          <w:rFonts w:ascii="Calibri" w:cs="Calibri" w:eastAsia="Calibri" w:hAnsi="Calibri"/>
          <w:b/>
          <w:bCs/>
          <w:color w:val="1A4B8C"/>
          <w:sz w:val="26"/>
          <w:szCs w:val="26"/>
        </w:rPr>
        <w:t xml:space="preserve">5.4  Mejorar NPS — de detractor a promotor</w:t>
      </w:r>
    </w:p>
    <w:p>
      <w:pPr>
        <w:spacing w:after="100" w:before="120"/>
        <w:jc w:val="left"/>
      </w:pPr>
      <w:r>
        <w:rPr>
          <w:rFonts w:ascii="Calibri" w:cs="Calibri" w:eastAsia="Calibri" w:hAnsi="Calibri"/>
          <w:b w:val="false"/>
          <w:bCs w:val="false"/>
          <w:i w:val="false"/>
          <w:iCs w:val="false"/>
          <w:color w:val="2D3748"/>
          <w:sz w:val="21"/>
          <w:szCs w:val="21"/>
        </w:rPr>
        <w:t xml:space="preserve">El NPS no se mejora con conversaciones — se mejora resolviendo los problemas que generaron el malestar. El proceso es:</w:t>
      </w:r>
    </w:p>
    <w:p>
      <w:pPr>
        <w:spacing w:after="80" w:before="0"/>
      </w:pPr>
      <w:r>
        <w:t xml:space="preserve"/>
      </w:r>
    </w:p>
    <w:p>
      <w:pPr>
        <w:pStyle w:val="ListParagraph"/>
        <w:numPr>
          <w:ilvl w:val="0"/>
          <w:numId w:val="2"/>
        </w:numPr>
        <w:spacing w:after="60" w:before="60"/>
      </w:pPr>
      <w:r>
        <w:rPr>
          <w:rFonts w:ascii="Calibri" w:cs="Calibri" w:eastAsia="Calibri" w:hAnsi="Calibri"/>
          <w:color w:val="4A5568"/>
          <w:sz w:val="20"/>
          <w:szCs w:val="20"/>
        </w:rPr>
        <w:t xml:space="preserve">Contactar al detractor en las primeras 48h de recibido el resultado</w:t>
      </w:r>
    </w:p>
    <w:p>
      <w:pPr>
        <w:pStyle w:val="ListParagraph"/>
        <w:numPr>
          <w:ilvl w:val="0"/>
          <w:numId w:val="2"/>
        </w:numPr>
        <w:spacing w:after="60" w:before="60"/>
      </w:pPr>
      <w:r>
        <w:rPr>
          <w:rFonts w:ascii="Calibri" w:cs="Calibri" w:eastAsia="Calibri" w:hAnsi="Calibri"/>
          <w:color w:val="4A5568"/>
          <w:sz w:val="20"/>
          <w:szCs w:val="20"/>
        </w:rPr>
        <w:t xml:space="preserve">Hacer preguntas abiertas: '¿Qué tendría que pasar para que nos recomendaras?'</w:t>
      </w:r>
    </w:p>
    <w:p>
      <w:pPr>
        <w:pStyle w:val="ListParagraph"/>
        <w:numPr>
          <w:ilvl w:val="0"/>
          <w:numId w:val="2"/>
        </w:numPr>
        <w:spacing w:after="60" w:before="60"/>
      </w:pPr>
      <w:r>
        <w:rPr>
          <w:rFonts w:ascii="Calibri" w:cs="Calibri" w:eastAsia="Calibri" w:hAnsi="Calibri"/>
          <w:color w:val="4A5568"/>
          <w:sz w:val="20"/>
          <w:szCs w:val="20"/>
        </w:rPr>
        <w:t xml:space="preserve">Identificar el problema raíz y comprometerse a una acción concreta con fecha</w:t>
      </w:r>
    </w:p>
    <w:p>
      <w:pPr>
        <w:pStyle w:val="ListParagraph"/>
        <w:numPr>
          <w:ilvl w:val="0"/>
          <w:numId w:val="2"/>
        </w:numPr>
        <w:spacing w:after="60" w:before="60"/>
      </w:pPr>
      <w:r>
        <w:rPr>
          <w:rFonts w:ascii="Calibri" w:cs="Calibri" w:eastAsia="Calibri" w:hAnsi="Calibri"/>
          <w:color w:val="4A5568"/>
          <w:sz w:val="20"/>
          <w:szCs w:val="20"/>
        </w:rPr>
        <w:t xml:space="preserve">Dar seguimiento semanal hasta resolver el problema</w:t>
      </w:r>
    </w:p>
    <w:p>
      <w:pPr>
        <w:pStyle w:val="ListParagraph"/>
        <w:numPr>
          <w:ilvl w:val="0"/>
          <w:numId w:val="2"/>
        </w:numPr>
        <w:spacing w:after="60" w:before="60"/>
      </w:pPr>
      <w:r>
        <w:rPr>
          <w:rFonts w:ascii="Calibri" w:cs="Calibri" w:eastAsia="Calibri" w:hAnsi="Calibri"/>
          <w:color w:val="4A5568"/>
          <w:sz w:val="20"/>
          <w:szCs w:val="20"/>
        </w:rPr>
        <w:t xml:space="preserve">Solicitar una nueva encuesta NPS solo cuando el problema esté resuelto</w:t>
      </w:r>
    </w:p>
    <w:p>
      <w:pPr>
        <w:spacing w:after="80" w:before="0"/>
      </w:pPr>
      <w:r>
        <w:t xml:space="preserve"/>
      </w:r>
    </w:p>
    <w:p>
      <w:pPr>
        <w:spacing w:after="100" w:before="120"/>
        <w:jc w:val="left"/>
      </w:pPr>
      <w:r>
        <w:rPr>
          <w:rFonts w:ascii="Calibri" w:cs="Calibri" w:eastAsia="Calibri" w:hAnsi="Calibri"/>
          <w:b w:val="false"/>
          <w:bCs w:val="false"/>
          <w:i/>
          <w:iCs/>
          <w:color w:val="8B0000"/>
          <w:sz w:val="20"/>
          <w:szCs w:val="20"/>
        </w:rPr>
        <w:t xml:space="preserve">No pedir al cliente que cambie su NPS sin haber resuelto el problema. Eso daña la relación y distorsiona los datos.</w:t>
      </w:r>
    </w:p>
    <w:p>
      <w:pPr>
        <w:spacing w:after="120" w:before="0"/>
      </w:pPr>
      <w:r>
        <w:t xml:space="preserve"/>
      </w:r>
    </w:p>
    <w:p>
      <w:pPr>
        <w:pStyle w:val="Heading2"/>
        <w:spacing w:after="100" w:before="220"/>
      </w:pPr>
      <w:r>
        <w:rPr>
          <w:rFonts w:ascii="Calibri" w:cs="Calibri" w:eastAsia="Calibri" w:hAnsi="Calibri"/>
          <w:b/>
          <w:bCs/>
          <w:color w:val="1A4B8C"/>
          <w:sz w:val="26"/>
          <w:szCs w:val="26"/>
        </w:rPr>
        <w:t xml:space="preserve">5.5  Mantener cadencia de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Segmento</w:t>
            </w:r>
          </w:p>
        </w:tc>
        <w:tc>
          <w:tcPr>
            <w:tcW w:type="dxa" w:w="696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Cadencia recomendada</w:t>
            </w:r>
          </w:p>
        </w:tc>
      </w:tr>
      <w:tr>
        <w:tc>
          <w:tcPr>
            <w:tcW w:type="dxa" w:w="24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vAlign w:val="center"/>
          </w:tcPr>
          <w:p>
            <w:pPr>
              <w:jc w:val="left"/>
            </w:pPr>
            <w:r>
              <w:rPr>
                <w:rFonts w:ascii="Calibri" w:cs="Calibri" w:eastAsia="Calibri" w:hAnsi="Calibri"/>
                <w:b/>
                <w:bCs/>
                <w:i w:val="false"/>
                <w:iCs w:val="false"/>
                <w:color w:val="8B0000"/>
                <w:sz w:val="20"/>
                <w:szCs w:val="20"/>
              </w:rPr>
              <w:t xml:space="preserve">Cuentas Rojo / Naranja</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Contacto semanal obligatorio — reunión o llamada. No solo correo.</w:t>
            </w:r>
          </w:p>
        </w:tc>
      </w:tr>
      <w:tr>
        <w:tc>
          <w:tcPr>
            <w:tcW w:type="dxa" w:w="2400"/>
            <w:tcBorders>
              <w:top w:val="single" w:color="CCCCCC" w:sz="4"/>
              <w:left w:val="single" w:color="CCCCCC" w:sz="4"/>
              <w:bottom w:val="single" w:color="CCCCCC" w:sz="4"/>
              <w:right w:val="single" w:color="CCCCCC" w:sz="4"/>
            </w:tcBorders>
            <w:shd w:fill="FFF8CC" w:val="clear"/>
            <w:tcMar>
              <w:top w:type="dxa" w:w="80"/>
              <w:left w:type="dxa" w:w="120"/>
              <w:bottom w:type="dxa" w:w="80"/>
              <w:right w:type="dxa" w:w="120"/>
            </w:tcMar>
            <w:vAlign w:val="center"/>
          </w:tcPr>
          <w:p>
            <w:pPr>
              <w:jc w:val="left"/>
            </w:pPr>
            <w:r>
              <w:rPr>
                <w:rFonts w:ascii="Calibri" w:cs="Calibri" w:eastAsia="Calibri" w:hAnsi="Calibri"/>
                <w:b/>
                <w:bCs/>
                <w:i w:val="false"/>
                <w:iCs w:val="false"/>
                <w:color w:val="7A6200"/>
                <w:sz w:val="20"/>
                <w:szCs w:val="20"/>
              </w:rPr>
              <w:t xml:space="preserve">Cuentas Amarillo</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Contacto quincenal — check-in con agenda. Revisar avance de la acción correctiva.</w:t>
            </w:r>
          </w:p>
        </w:tc>
      </w:tr>
      <w:tr>
        <w:tc>
          <w:tcPr>
            <w:tcW w:type="dxa" w:w="2400"/>
            <w:tcBorders>
              <w:top w:val="single" w:color="CCCCCC" w:sz="4"/>
              <w:left w:val="single" w:color="CCCCCC" w:sz="4"/>
              <w:bottom w:val="single" w:color="CCCCCC" w:sz="4"/>
              <w:right w:val="single" w:color="CCCCCC" w:sz="4"/>
            </w:tcBorders>
            <w:shd w:fill="D6EFD9" w:val="clear"/>
            <w:tcMar>
              <w:top w:type="dxa" w:w="80"/>
              <w:left w:type="dxa" w:w="120"/>
              <w:bottom w:type="dxa" w:w="80"/>
              <w:right w:type="dxa" w:w="120"/>
            </w:tcMar>
            <w:vAlign w:val="center"/>
          </w:tcPr>
          <w:p>
            <w:pPr>
              <w:jc w:val="left"/>
            </w:pPr>
            <w:r>
              <w:rPr>
                <w:rFonts w:ascii="Calibri" w:cs="Calibri" w:eastAsia="Calibri" w:hAnsi="Calibri"/>
                <w:b/>
                <w:bCs/>
                <w:i w:val="false"/>
                <w:iCs w:val="false"/>
                <w:color w:val="1D6A3A"/>
                <w:sz w:val="20"/>
                <w:szCs w:val="20"/>
              </w:rPr>
              <w:t xml:space="preserve">Cuentas Verde — Enterprise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Contacto mensual — reunión estratégica o QBR trimestral.</w:t>
            </w:r>
          </w:p>
        </w:tc>
      </w:tr>
      <w:tr>
        <w:tc>
          <w:tcPr>
            <w:tcW w:type="dxa" w:w="2400"/>
            <w:tcBorders>
              <w:top w:val="single" w:color="CCCCCC" w:sz="4"/>
              <w:left w:val="single" w:color="CCCCCC" w:sz="4"/>
              <w:bottom w:val="single" w:color="CCCCCC" w:sz="4"/>
              <w:right w:val="single" w:color="CCCCCC" w:sz="4"/>
            </w:tcBorders>
            <w:shd w:fill="D6EFD9" w:val="clear"/>
            <w:tcMar>
              <w:top w:type="dxa" w:w="80"/>
              <w:left w:type="dxa" w:w="120"/>
              <w:bottom w:type="dxa" w:w="80"/>
              <w:right w:type="dxa" w:w="120"/>
            </w:tcMar>
            <w:vAlign w:val="center"/>
          </w:tcPr>
          <w:p>
            <w:pPr>
              <w:jc w:val="left"/>
            </w:pPr>
            <w:r>
              <w:rPr>
                <w:rFonts w:ascii="Calibri" w:cs="Calibri" w:eastAsia="Calibri" w:hAnsi="Calibri"/>
                <w:b/>
                <w:bCs/>
                <w:i w:val="false"/>
                <w:iCs w:val="false"/>
                <w:color w:val="1D6A3A"/>
                <w:sz w:val="20"/>
                <w:szCs w:val="20"/>
              </w:rPr>
              <w:t xml:space="preserve">Cuentas Verde — Mid Market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Contacto mensual — correo de valor + reunión trimestral.</w:t>
            </w:r>
          </w:p>
        </w:tc>
      </w:tr>
    </w:tbl>
    <w:p>
      <w:pPr>
        <w:spacing w:after="120" w:before="0"/>
      </w:pPr>
      <w:r>
        <w:t xml:space="preserve"/>
      </w:r>
    </w:p>
    <w:p>
      <w:pPr>
        <w:pStyle w:val="Heading2"/>
        <w:spacing w:after="100" w:before="220"/>
      </w:pPr>
      <w:r>
        <w:rPr>
          <w:rFonts w:ascii="Calibri" w:cs="Calibri" w:eastAsia="Calibri" w:hAnsi="Calibri"/>
          <w:b/>
          <w:bCs/>
          <w:color w:val="1A4B8C"/>
          <w:sz w:val="26"/>
          <w:szCs w:val="26"/>
        </w:rPr>
        <w:t xml:space="preserve">5.6  Estado actual del Health Score y brechas identificadas</w:t>
      </w:r>
    </w:p>
    <w:p>
      <w:pPr>
        <w:spacing w:after="100" w:before="120"/>
        <w:jc w:val="left"/>
      </w:pPr>
      <w:r>
        <w:rPr>
          <w:rFonts w:ascii="Calibri" w:cs="Calibri" w:eastAsia="Calibri" w:hAnsi="Calibri"/>
          <w:b w:val="false"/>
          <w:bCs w:val="false"/>
          <w:i w:val="false"/>
          <w:iCs w:val="false"/>
          <w:color w:val="2D3748"/>
          <w:sz w:val="21"/>
          <w:szCs w:val="21"/>
        </w:rPr>
        <w:t xml:space="preserve">Al cierre de la semana del 7 de julio 2026, el dashboard de CS LATAM muestra las siguientes brechas prioritarias en la cartera de Sami: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Brecha identificada</w:t>
            </w:r>
          </w:p>
        </w:tc>
        <w:tc>
          <w:tcPr>
            <w:tcW w:type="dxa" w:w="18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Impacto en HS</w:t>
            </w:r>
          </w:p>
        </w:tc>
        <w:tc>
          <w:tcPr>
            <w:tcW w:type="dxa" w:w="456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Acción de mejora</w:t>
            </w:r>
          </w:p>
        </w:tc>
      </w:tr>
      <w:tr>
        <w:tc>
          <w:tcPr>
            <w:tcW w:type="dxa" w:w="30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vAlign w:val="center"/>
          </w:tcPr>
          <w:p>
            <w:pPr>
              <w:jc w:val="left"/>
            </w:pPr>
            <w:r>
              <w:rPr>
                <w:rFonts w:ascii="Calibri" w:cs="Calibri" w:eastAsia="Calibri" w:hAnsi="Calibri"/>
                <w:b/>
                <w:bCs/>
                <w:i w:val="false"/>
                <w:iCs w:val="false"/>
                <w:color w:val="8B0000"/>
                <w:sz w:val="20"/>
                <w:szCs w:val="20"/>
              </w:rPr>
              <w:t xml:space="preserve">Use Points: null en la mayoría de cuentas</w:t>
            </w:r>
          </w:p>
        </w:tc>
        <w:tc>
          <w:tcPr>
            <w:tcW w:type="dxa" w:w="18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8B0000"/>
                <w:sz w:val="20"/>
                <w:szCs w:val="20"/>
              </w:rPr>
              <w:t xml:space="preserve">Alto — 20% del HS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Consultar Power BI Use Points semanalmente. Sin este dato, el HS de casi toda la cartera queda en null.</w:t>
            </w:r>
          </w:p>
        </w:tc>
      </w:tr>
      <w:tr>
        <w:tc>
          <w:tcPr>
            <w:tcW w:type="dxa" w:w="3000"/>
            <w:tcBorders>
              <w:top w:val="single" w:color="CCCCCC" w:sz="4"/>
              <w:left w:val="single" w:color="CCCCCC" w:sz="4"/>
              <w:bottom w:val="single" w:color="CCCCCC" w:sz="4"/>
              <w:right w:val="single" w:color="CCCCCC" w:sz="4"/>
            </w:tcBorders>
            <w:shd w:fill="FDE8D0" w:val="clear"/>
            <w:tcMar>
              <w:top w:type="dxa" w:w="80"/>
              <w:left w:type="dxa" w:w="120"/>
              <w:bottom w:type="dxa" w:w="80"/>
              <w:right w:type="dxa" w:w="120"/>
            </w:tcMar>
            <w:vAlign w:val="center"/>
          </w:tcPr>
          <w:p>
            <w:pPr>
              <w:jc w:val="left"/>
            </w:pPr>
            <w:r>
              <w:rPr>
                <w:rFonts w:ascii="Calibri" w:cs="Calibri" w:eastAsia="Calibri" w:hAnsi="Calibri"/>
                <w:b/>
                <w:bCs/>
                <w:i w:val="false"/>
                <w:iCs w:val="false"/>
                <w:color w:val="9C4A00"/>
                <w:sz w:val="20"/>
                <w:szCs w:val="20"/>
              </w:rPr>
              <w:t xml:space="preserve">GMV: null en varios clientes</w:t>
            </w:r>
          </w:p>
        </w:tc>
        <w:tc>
          <w:tcPr>
            <w:tcW w:type="dxa" w:w="1800"/>
            <w:tcBorders>
              <w:top w:val="single" w:color="CCCCCC" w:sz="4"/>
              <w:left w:val="single" w:color="CCCCCC" w:sz="4"/>
              <w:bottom w:val="single" w:color="CCCCCC" w:sz="4"/>
              <w:right w:val="single" w:color="CCCCCC" w:sz="4"/>
            </w:tcBorders>
            <w:shd w:fill="FDE8D0"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9C4A00"/>
                <w:sz w:val="20"/>
                <w:szCs w:val="20"/>
              </w:rPr>
              <w:t xml:space="preserve">Alto — 25% del HS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Revisar Power BI GMV cada lunes al inicio de semana. Priorizar clientes con GMV en cero.</w:t>
            </w:r>
          </w:p>
        </w:tc>
      </w:tr>
      <w:tr>
        <w:tc>
          <w:tcPr>
            <w:tcW w:type="dxa" w:w="3000"/>
            <w:tcBorders>
              <w:top w:val="single" w:color="CCCCCC" w:sz="4"/>
              <w:left w:val="single" w:color="CCCCCC" w:sz="4"/>
              <w:bottom w:val="single" w:color="CCCCCC" w:sz="4"/>
              <w:right w:val="single" w:color="CCCCCC" w:sz="4"/>
            </w:tcBorders>
            <w:shd w:fill="FDE8D0" w:val="clear"/>
            <w:tcMar>
              <w:top w:type="dxa" w:w="80"/>
              <w:left w:type="dxa" w:w="120"/>
              <w:bottom w:type="dxa" w:w="80"/>
              <w:right w:type="dxa" w:w="120"/>
            </w:tcMar>
            <w:vAlign w:val="center"/>
          </w:tcPr>
          <w:p>
            <w:pPr>
              <w:jc w:val="left"/>
            </w:pPr>
            <w:r>
              <w:rPr>
                <w:rFonts w:ascii="Calibri" w:cs="Calibri" w:eastAsia="Calibri" w:hAnsi="Calibri"/>
                <w:b/>
                <w:bCs/>
                <w:i w:val="false"/>
                <w:iCs w:val="false"/>
                <w:color w:val="9C4A00"/>
                <w:sz w:val="20"/>
                <w:szCs w:val="20"/>
              </w:rPr>
              <w:t xml:space="preserve">POINTBREAK y WHIRLPOOL: último contacto &gt; 60 días</w:t>
            </w:r>
          </w:p>
        </w:tc>
        <w:tc>
          <w:tcPr>
            <w:tcW w:type="dxa" w:w="1800"/>
            <w:tcBorders>
              <w:top w:val="single" w:color="CCCCCC" w:sz="4"/>
              <w:left w:val="single" w:color="CCCCCC" w:sz="4"/>
              <w:bottom w:val="single" w:color="CCCCCC" w:sz="4"/>
              <w:right w:val="single" w:color="CCCCCC" w:sz="4"/>
            </w:tcBorders>
            <w:shd w:fill="FDE8D0"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9C4A00"/>
                <w:sz w:val="20"/>
                <w:szCs w:val="20"/>
              </w:rPr>
              <w:t xml:space="preserve">Medio — 15% del HS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Programar contacto esta semana. POINTBREAK lleva desde abril sin contacto registrado.</w:t>
            </w:r>
          </w:p>
        </w:tc>
      </w:tr>
      <w:tr>
        <w:tc>
          <w:tcPr>
            <w:tcW w:type="dxa" w:w="3000"/>
            <w:tcBorders>
              <w:top w:val="single" w:color="CCCCCC" w:sz="4"/>
              <w:left w:val="single" w:color="CCCCCC" w:sz="4"/>
              <w:bottom w:val="single" w:color="CCCCCC" w:sz="4"/>
              <w:right w:val="single" w:color="CCCCCC" w:sz="4"/>
            </w:tcBorders>
            <w:shd w:fill="FFF8CC" w:val="clear"/>
            <w:tcMar>
              <w:top w:type="dxa" w:w="80"/>
              <w:left w:type="dxa" w:w="120"/>
              <w:bottom w:type="dxa" w:w="80"/>
              <w:right w:type="dxa" w:w="120"/>
            </w:tcMar>
            <w:vAlign w:val="center"/>
          </w:tcPr>
          <w:p>
            <w:pPr>
              <w:jc w:val="left"/>
            </w:pPr>
            <w:r>
              <w:rPr>
                <w:rFonts w:ascii="Calibri" w:cs="Calibri" w:eastAsia="Calibri" w:hAnsi="Calibri"/>
                <w:b/>
                <w:bCs/>
                <w:i w:val="false"/>
                <w:iCs w:val="false"/>
                <w:color w:val="7A6200"/>
                <w:sz w:val="20"/>
                <w:szCs w:val="20"/>
              </w:rPr>
              <w:t xml:space="preserve">COBOE BOTIGA y FORUS SA: NPS crítico en recuperación</w:t>
            </w:r>
          </w:p>
        </w:tc>
        <w:tc>
          <w:tcPr>
            <w:tcW w:type="dxa" w:w="1800"/>
            <w:tcBorders>
              <w:top w:val="single" w:color="CCCCCC" w:sz="4"/>
              <w:left w:val="single" w:color="CCCCCC" w:sz="4"/>
              <w:bottom w:val="single" w:color="CCCCCC" w:sz="4"/>
              <w:right w:val="single" w:color="CCCCCC" w:sz="4"/>
            </w:tcBorders>
            <w:shd w:fill="FFF8CC"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7A6200"/>
                <w:sz w:val="20"/>
                <w:szCs w:val="20"/>
              </w:rPr>
              <w:t xml:space="preserve">Medio — 15% del HS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BOTIGA recuperó a +100. FORUS SA en NPS 7 — seguimiento mensual hasta superar 50.</w:t>
            </w:r>
          </w:p>
        </w:tc>
      </w:tr>
    </w:tbl>
    <w:p>
      <w:r>
        <w:br w:type="page"/>
      </w:r>
    </w:p>
    <w:p>
      <w:pPr>
        <w:pStyle w:val="Heading1"/>
        <w:spacing w:after="160" w:before="320"/>
      </w:pPr>
      <w:r>
        <w:rPr>
          <w:rFonts w:ascii="Calibri" w:cs="Calibri" w:eastAsia="Calibri" w:hAnsi="Calibri"/>
          <w:b/>
          <w:bCs/>
          <w:color w:val="0D2137"/>
          <w:sz w:val="32"/>
          <w:szCs w:val="32"/>
        </w:rPr>
        <w:t xml:space="preserve">6. Fuentes oficiales de datos</w:t>
      </w:r>
    </w:p>
    <w:p>
      <w:pPr>
        <w:spacing w:after="100" w:before="120"/>
        <w:jc w:val="left"/>
      </w:pPr>
      <w:r>
        <w:rPr>
          <w:rFonts w:ascii="Calibri" w:cs="Calibri" w:eastAsia="Calibri" w:hAnsi="Calibri"/>
          <w:b/>
          <w:bCs/>
          <w:i w:val="false"/>
          <w:iCs w:val="false"/>
          <w:color w:val="2D3748"/>
          <w:sz w:val="22"/>
          <w:szCs w:val="22"/>
        </w:rPr>
        <w:t xml:space="preserve">Todos los datos del Health Score provienen exclusivamente de estas fuentes. Usar cualquier otra fuente invalida el dato.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KPI</w:t>
            </w:r>
          </w:p>
        </w:tc>
        <w:tc>
          <w:tcPr>
            <w:tcW w:type="dxa" w:w="376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Fuente oficial</w:t>
            </w:r>
          </w:p>
        </w:tc>
        <w:tc>
          <w:tcPr>
            <w:tcW w:type="dxa" w:w="3000"/>
            <w:tcBorders>
              <w:top w:val="single" w:color="1A4B8C" w:sz="4"/>
              <w:left w:val="single" w:color="1A4B8C" w:sz="4"/>
              <w:bottom w:val="single" w:color="1A4B8C" w:sz="4"/>
              <w:right w:val="single" w:color="1A4B8C" w:sz="4"/>
            </w:tcBorders>
            <w:shd w:fill="1A4B8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Importante</w:t>
            </w:r>
          </w:p>
        </w:tc>
      </w:tr>
      <w:tr>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GMV</w:t>
            </w:r>
          </w:p>
        </w:tc>
        <w:tc>
          <w:tcPr>
            <w:tcW w:type="dxa" w:w="3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Power BI GMV Report</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Filtrar por mes actual, país y moneda local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Tickets y Bugs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Zendesk — db1globalsoftwaresupport.zendesk.com</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bCs/>
                <w:i w:val="false"/>
                <w:iCs w:val="false"/>
                <w:color w:val="8B0000"/>
                <w:sz w:val="20"/>
                <w:szCs w:val="20"/>
              </w:rPr>
              <w:t xml:space="preserve">NO usar anymarket.zendesk.com</w:t>
            </w:r>
          </w:p>
        </w:tc>
      </w:tr>
      <w:tr>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Use Points</w:t>
            </w:r>
          </w:p>
        </w:tc>
        <w:tc>
          <w:tcPr>
            <w:tcW w:type="dxa" w:w="3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AnyMarket y/o Power BI Use Points</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upPlan = plan contratado / qtUp = consumido</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NPS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TrackSale — tracksale.co</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Calibri" w:cs="Calibri" w:eastAsia="Calibri" w:hAnsi="Calibri"/>
                <w:b/>
                <w:bCs/>
                <w:i w:val="false"/>
                <w:iCs w:val="false"/>
                <w:color w:val="8B0000"/>
                <w:sz w:val="20"/>
                <w:szCs w:val="20"/>
              </w:rPr>
              <w:t xml:space="preserve">Nunca calcular ni inferir — solo dato directo de TrackSale</w:t>
            </w:r>
          </w:p>
        </w:tc>
      </w:tr>
      <w:tr>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bCs/>
                <w:i w:val="false"/>
                <w:iCs w:val="false"/>
                <w:color w:val="000000"/>
                <w:sz w:val="20"/>
                <w:szCs w:val="20"/>
              </w:rPr>
              <w:t xml:space="preserve">Último contacto</w:t>
            </w:r>
          </w:p>
        </w:tc>
        <w:tc>
          <w:tcPr>
            <w:tcW w:type="dxa" w:w="3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HubSpot o Outlook</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000000"/>
                <w:sz w:val="20"/>
                <w:szCs w:val="20"/>
              </w:rPr>
              <w:t xml:space="preserve">Registrar inmediatamente después de cada interacción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7" w:val="clear"/>
            <w:tcMar>
              <w:top w:type="dxa" w:w="180"/>
              <w:left w:type="dxa" w:w="220"/>
              <w:bottom w:type="dxa" w:w="180"/>
              <w:right w:type="dxa" w:w="220"/>
            </w:tcMar>
          </w:tcPr>
          <w:p>
            <w:pPr>
              <w:spacing w:after="80" w:before="80"/>
              <w:jc w:val="center"/>
            </w:pPr>
            <w:r>
              <w:rPr>
                <w:rFonts w:ascii="Calibri" w:cs="Calibri" w:eastAsia="Calibri" w:hAnsi="Calibri"/>
                <w:b/>
                <w:bCs/>
                <w:color w:val="0D2137"/>
                <w:sz w:val="28"/>
                <w:szCs w:val="28"/>
              </w:rPr>
              <w:t xml:space="preserve">El Health Score no es un número.</w:t>
            </w:r>
          </w:p>
          <w:p>
            <w:pPr>
              <w:spacing w:after="60" w:before="60"/>
              <w:jc w:val="center"/>
            </w:pPr>
            <w:r>
              <w:rPr>
                <w:rFonts w:ascii="Calibri" w:cs="Calibri" w:eastAsia="Calibri" w:hAnsi="Calibri"/>
                <w:color w:val="4A5568"/>
                <w:sz w:val="24"/>
                <w:szCs w:val="24"/>
              </w:rPr>
              <w:t xml:space="preserve">Es la respuesta a la pregunta que el Director pregunta cada semana:</w:t>
            </w:r>
          </w:p>
          <w:p>
            <w:pPr>
              <w:spacing w:after="60" w:before="60"/>
              <w:jc w:val="center"/>
            </w:pPr>
            <w:r>
              <w:rPr>
                <w:rFonts w:ascii="Calibri" w:cs="Calibri" w:eastAsia="Calibri" w:hAnsi="Calibri"/>
                <w:b/>
                <w:bCs/>
                <w:i/>
                <w:iCs/>
                <w:color w:val="1A4B8C"/>
                <w:sz w:val="26"/>
                <w:szCs w:val="26"/>
              </w:rPr>
              <w:t xml:space="preserve">iQue cuentas estan en riesgo y que estamos haciendo hoy?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4"/>
      </w:pBdr>
      <w:jc w:val="center"/>
    </w:pPr>
    <w:r>
      <w:rPr>
        <w:rFonts w:ascii="Calibri" w:cs="Calibri" w:eastAsia="Calibri" w:hAnsi="Calibri"/>
        <w:color w:val="4A5568"/>
        <w:sz w:val="18"/>
        <w:szCs w:val="18"/>
      </w:rPr>
      <w:t xml:space="preserve">Página </w:t>
    </w:r>
    <w:r>
      <w:rPr>
        <w:rFonts w:ascii="Calibri" w:cs="Calibri" w:eastAsia="Calibri" w:hAnsi="Calibri"/>
        <w:color w:val="4A5568"/>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  Confidencial — uso interno AnyMarket LATAM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7" w:sz="4" w:space="4"/>
      </w:pBdr>
      <w:jc w:val="right"/>
    </w:pPr>
    <w:r>
      <w:rPr>
        <w:rFonts w:ascii="Calibri" w:cs="Calibri" w:eastAsia="Calibri" w:hAnsi="Calibri"/>
        <w:color w:val="4A5568"/>
        <w:sz w:val="18"/>
        <w:szCs w:val="18"/>
      </w:rPr>
      <w:t xml:space="preserve">Health Score Institucional  |  AnyMarket CS LATAM  |  v1.0  |  Jul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4F7" w:sz="4" w:space="4"/>
      </w:pBdr>
      <w:spacing w:after="160" w:before="320"/>
      <w:outlineLvl w:val="0"/>
    </w:pPr>
    <w:rPr>
      <w:rFonts w:ascii="Calibri" w:cs="Calibri" w:eastAsia="Calibri" w:hAnsi="Calibri"/>
      <w:b/>
      <w:bCs/>
      <w:color w:val="0D2137"/>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A4B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2026-07-10T17:28:05.765Z</dcterms:created>
  <dcterms:modified xsi:type="dcterms:W3CDTF">2026-07-10T17:28:05.765Z</dcterms:modified>
</cp:coreProperties>
</file>

<file path=docProps/custom.xml><?xml version="1.0" encoding="utf-8"?>
<Properties xmlns="http://schemas.openxmlformats.org/officeDocument/2006/custom-properties" xmlns:vt="http://schemas.openxmlformats.org/officeDocument/2006/docPropsVTypes"/>
</file>