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B4F72"/>
          <w:sz w:val="52"/>
          <w:szCs w:val="52"/>
        </w:rPr>
        <w:t xml:space="preserve">INFORME SEMANAL</w:t>
      </w:r>
    </w:p>
    <w:p>
      <w:pPr>
        <w:spacing w:after="60" w:before="0"/>
        <w:jc w:val="center"/>
      </w:pPr>
      <w:r>
        <w:rPr>
          <w:rFonts w:ascii="Arial" w:cs="Arial" w:eastAsia="Arial" w:hAnsi="Arial"/>
          <w:b/>
          <w:bCs/>
          <w:color w:val="5D6D7E"/>
          <w:sz w:val="36"/>
          <w:szCs w:val="36"/>
        </w:rPr>
        <w:t xml:space="preserve">Customer Success · AnyMarket LATAM</w:t>
      </w:r>
    </w:p>
    <w:p>
      <w:pPr>
        <w:spacing w:after="60" w:before="0"/>
        <w:jc w:val="center"/>
      </w:pPr>
      <w:r>
        <w:rPr>
          <w:rFonts w:ascii="Arial" w:cs="Arial" w:eastAsia="Arial" w:hAnsi="Arial"/>
          <w:i/>
          <w:iCs/>
          <w:color w:val="5D6D7E"/>
          <w:sz w:val="28"/>
          <w:szCs w:val="28"/>
        </w:rPr>
        <w:t xml:space="preserve">Semana 23–30 Junio 2026</w:t>
      </w:r>
    </w:p>
    <w:p>
      <w:pPr>
        <w:spacing w:after="60" w:before="0"/>
        <w:jc w:val="center"/>
      </w:pPr>
      <w:r>
        <w:rPr>
          <w:rFonts w:ascii="Arial" w:cs="Arial" w:eastAsia="Arial" w:hAnsi="Arial"/>
          <w:color w:val="5D6D7E"/>
          <w:sz w:val="24"/>
          <w:szCs w:val="24"/>
        </w:rPr>
        <w:t xml:space="preserve">Presentado por: Samiramis Monterola · CSM Senior</w:t>
      </w:r>
    </w:p>
    <w:p>
      <w:pPr>
        <w:spacing w:after="80" w:before="80"/>
      </w:pPr>
      <w:r>
        <w:t xml:space="preserve"/>
      </w:r>
    </w:p>
    <w:p>
      <w:pPr>
        <w:pStyle w:val="Heading1"/>
        <w:pBdr>
          <w:bottom w:val="single" w:color="1B4F72" w:sz="8" w:space="6"/>
        </w:pBdr>
        <w:spacing w:after="120" w:before="300"/>
      </w:pPr>
      <w:r>
        <w:rPr>
          <w:rFonts w:ascii="Arial" w:cs="Arial" w:eastAsia="Arial" w:hAnsi="Arial"/>
          <w:b/>
          <w:bCs/>
          <w:color w:val="1B4F72"/>
          <w:sz w:val="32"/>
          <w:szCs w:val="32"/>
        </w:rPr>
        <w:t xml:space="preserve">1. Resumen Ejecutivo</w:t>
      </w:r>
    </w:p>
    <w:p>
      <w:pPr>
        <w:spacing w:after="60" w:before="60"/>
      </w:pPr>
      <w:r>
        <w:rPr>
          <w:rFonts w:ascii="Arial" w:cs="Arial" w:eastAsia="Arial" w:hAnsi="Arial"/>
          <w:sz w:val="22"/>
          <w:szCs w:val="22"/>
        </w:rPr>
        <w:t xml:space="preserve">Semana de alta carga operacional con foco en retención de clientes críticos, cierre de tickets urgentes y consolidación de herramientas de monitoreo de cartera. La cartera LATAM mantiene niveles saludables con el 84% de los clientes en estado verde, con 2 casos en seguimiento activo por NPS negativo.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72"/>
                <w:sz w:val="36"/>
                <w:szCs w:val="36"/>
              </w:rPr>
              <w:t xml:space="preserve">38</w:t>
            </w:r>
          </w:p>
          <w:p>
            <w:pPr>
              <w:jc w:val="center"/>
            </w:pPr>
            <w:r>
              <w:rPr>
                <w:rFonts w:ascii="Arial" w:cs="Arial" w:eastAsia="Arial" w:hAnsi="Arial"/>
                <w:color w:val="5D6D7E"/>
                <w:sz w:val="18"/>
                <w:szCs w:val="18"/>
              </w:rPr>
              <w:t xml:space="preserve">Total Clientes</w:t>
            </w:r>
          </w:p>
          <w:p>
            <w:pPr>
              <w:jc w:val="center"/>
            </w:pPr>
            <w:r>
              <w:rPr>
                <w:rFonts w:ascii="Arial" w:cs="Arial" w:eastAsia="Arial" w:hAnsi="Arial"/>
                <w:i/>
                <w:iCs/>
                <w:color w:val="5D6D7E"/>
                <w:sz w:val="16"/>
                <w:szCs w:val="16"/>
              </w:rPr>
              <w:t xml:space="preserve">6 países LATAM</w:t>
            </w:r>
          </w:p>
        </w:tc>
        <w:tc>
          <w:tcPr>
            <w:tcW w:type="dxa" w:w="234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vAlign w:val="center"/>
          </w:tcPr>
          <w:p>
            <w:pPr>
              <w:jc w:val="center"/>
            </w:pPr>
            <w:r>
              <w:rPr>
                <w:rFonts w:ascii="Arial" w:cs="Arial" w:eastAsia="Arial" w:hAnsi="Arial"/>
                <w:b/>
                <w:bCs/>
                <w:color w:val="1E8449"/>
                <w:sz w:val="36"/>
                <w:szCs w:val="36"/>
              </w:rPr>
              <w:t xml:space="preserve">84%</w:t>
            </w:r>
          </w:p>
          <w:p>
            <w:pPr>
              <w:jc w:val="center"/>
            </w:pPr>
            <w:r>
              <w:rPr>
                <w:rFonts w:ascii="Arial" w:cs="Arial" w:eastAsia="Arial" w:hAnsi="Arial"/>
                <w:color w:val="5D6D7E"/>
                <w:sz w:val="18"/>
                <w:szCs w:val="18"/>
              </w:rPr>
              <w:t xml:space="preserve">Clientes Saludables</w:t>
            </w:r>
          </w:p>
          <w:p>
            <w:pPr>
              <w:jc w:val="center"/>
            </w:pPr>
            <w:r>
              <w:rPr>
                <w:rFonts w:ascii="Arial" w:cs="Arial" w:eastAsia="Arial" w:hAnsi="Arial"/>
                <w:i/>
                <w:iCs/>
                <w:color w:val="5D6D7E"/>
                <w:sz w:val="16"/>
                <w:szCs w:val="16"/>
              </w:rPr>
              <w:t xml:space="preserve">32 de 38</w:t>
            </w:r>
          </w:p>
        </w:tc>
        <w:tc>
          <w:tcPr>
            <w:tcW w:type="dxa" w:w="234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vAlign w:val="center"/>
          </w:tcPr>
          <w:p>
            <w:pPr>
              <w:jc w:val="center"/>
            </w:pPr>
            <w:r>
              <w:rPr>
                <w:rFonts w:ascii="Arial" w:cs="Arial" w:eastAsia="Arial" w:hAnsi="Arial"/>
                <w:b/>
                <w:bCs/>
                <w:color w:val="1B4F72"/>
                <w:sz w:val="36"/>
                <w:szCs w:val="36"/>
              </w:rPr>
              <w:t xml:space="preserve">$328B</w:t>
            </w:r>
          </w:p>
          <w:p>
            <w:pPr>
              <w:jc w:val="center"/>
            </w:pPr>
            <w:r>
              <w:rPr>
                <w:rFonts w:ascii="Arial" w:cs="Arial" w:eastAsia="Arial" w:hAnsi="Arial"/>
                <w:color w:val="5D6D7E"/>
                <w:sz w:val="18"/>
                <w:szCs w:val="18"/>
              </w:rPr>
              <w:t xml:space="preserve">GMV Mensual</w:t>
            </w:r>
          </w:p>
          <w:p>
            <w:pPr>
              <w:jc w:val="center"/>
            </w:pPr>
            <w:r>
              <w:rPr>
                <w:rFonts w:ascii="Arial" w:cs="Arial" w:eastAsia="Arial" w:hAnsi="Arial"/>
                <w:i/>
                <w:iCs/>
                <w:color w:val="5D6D7E"/>
                <w:sz w:val="16"/>
                <w:szCs w:val="16"/>
              </w:rPr>
              <w:t xml:space="preserve">CLP — Jun 2026</w:t>
            </w:r>
          </w:p>
        </w:tc>
        <w:tc>
          <w:tcPr>
            <w:tcW w:type="dxa" w:w="234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center"/>
            </w:pPr>
            <w:r>
              <w:rPr>
                <w:rFonts w:ascii="Arial" w:cs="Arial" w:eastAsia="Arial" w:hAnsi="Arial"/>
                <w:b/>
                <w:bCs/>
                <w:color w:val="1B4F72"/>
                <w:sz w:val="36"/>
                <w:szCs w:val="36"/>
              </w:rPr>
              <w:t xml:space="preserve">USD 46.6K</w:t>
            </w:r>
          </w:p>
          <w:p>
            <w:pPr>
              <w:jc w:val="center"/>
            </w:pPr>
            <w:r>
              <w:rPr>
                <w:rFonts w:ascii="Arial" w:cs="Arial" w:eastAsia="Arial" w:hAnsi="Arial"/>
                <w:color w:val="5D6D7E"/>
                <w:sz w:val="18"/>
                <w:szCs w:val="18"/>
              </w:rPr>
              <w:t xml:space="preserve">MRR Total</w:t>
            </w:r>
          </w:p>
          <w:p>
            <w:pPr>
              <w:jc w:val="center"/>
            </w:pPr>
            <w:r>
              <w:rPr>
                <w:rFonts w:ascii="Arial" w:cs="Arial" w:eastAsia="Arial" w:hAnsi="Arial"/>
                <w:i/>
                <w:iCs/>
                <w:color w:val="5D6D7E"/>
                <w:sz w:val="16"/>
                <w:szCs w:val="16"/>
              </w:rPr>
              <w:t xml:space="preserve">con datos registrados</w:t>
            </w:r>
          </w:p>
        </w:tc>
      </w:tr>
      <w:tr>
        <w:tc>
          <w:tcPr>
            <w:tcW w:type="dxa" w:w="234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vAlign w:val="center"/>
          </w:tcPr>
          <w:p>
            <w:pPr>
              <w:jc w:val="center"/>
            </w:pPr>
            <w:r>
              <w:rPr>
                <w:rFonts w:ascii="Arial" w:cs="Arial" w:eastAsia="Arial" w:hAnsi="Arial"/>
                <w:b/>
                <w:bCs/>
                <w:color w:val="D35400"/>
                <w:sz w:val="36"/>
                <w:szCs w:val="36"/>
              </w:rPr>
              <w:t xml:space="preserve">5</w:t>
            </w:r>
          </w:p>
          <w:p>
            <w:pPr>
              <w:jc w:val="center"/>
            </w:pPr>
            <w:r>
              <w:rPr>
                <w:rFonts w:ascii="Arial" w:cs="Arial" w:eastAsia="Arial" w:hAnsi="Arial"/>
                <w:color w:val="5D6D7E"/>
                <w:sz w:val="18"/>
                <w:szCs w:val="18"/>
              </w:rPr>
              <w:t xml:space="preserve">Tickets Abiertos</w:t>
            </w:r>
          </w:p>
          <w:p>
            <w:pPr>
              <w:jc w:val="center"/>
            </w:pPr>
            <w:r>
              <w:rPr>
                <w:rFonts w:ascii="Arial" w:cs="Arial" w:eastAsia="Arial" w:hAnsi="Arial"/>
                <w:i/>
                <w:iCs/>
                <w:color w:val="5D6D7E"/>
                <w:sz w:val="16"/>
                <w:szCs w:val="16"/>
              </w:rPr>
              <w:t xml:space="preserve">0 bugs críticos</w:t>
            </w:r>
          </w:p>
        </w:tc>
        <w:tc>
          <w:tcPr>
            <w:tcW w:type="dxa" w:w="2340"/>
            <w:tcBorders>
              <w:top w:val="single" w:color="CCCCCC" w:sz="1"/>
              <w:left w:val="single" w:color="CCCCCC" w:sz="1"/>
              <w:bottom w:val="single" w:color="CCCCCC" w:sz="1"/>
              <w:right w:val="single" w:color="CCCCCC" w:sz="1"/>
            </w:tcBorders>
            <w:shd w:fill="F2F3F4" w:val="clear"/>
            <w:tcMar>
              <w:top w:type="dxa" w:w="100"/>
              <w:left w:type="dxa" w:w="120"/>
              <w:bottom w:type="dxa" w:w="100"/>
              <w:right w:type="dxa" w:w="120"/>
            </w:tcMar>
            <w:vAlign w:val="center"/>
          </w:tcPr>
          <w:p>
            <w:pPr>
              <w:jc w:val="center"/>
            </w:pPr>
            <w:r>
              <w:rPr>
                <w:rFonts w:ascii="Arial" w:cs="Arial" w:eastAsia="Arial" w:hAnsi="Arial"/>
                <w:b/>
                <w:bCs/>
                <w:color w:val="1B4F72"/>
                <w:sz w:val="36"/>
                <w:szCs w:val="36"/>
              </w:rPr>
              <w:t xml:space="preserve">Neutro</w:t>
            </w:r>
          </w:p>
          <w:p>
            <w:pPr>
              <w:jc w:val="center"/>
            </w:pPr>
            <w:r>
              <w:rPr>
                <w:rFonts w:ascii="Arial" w:cs="Arial" w:eastAsia="Arial" w:hAnsi="Arial"/>
                <w:color w:val="5D6D7E"/>
                <w:sz w:val="18"/>
                <w:szCs w:val="18"/>
              </w:rPr>
              <w:t xml:space="preserve">NPS Cartera</w:t>
            </w:r>
          </w:p>
          <w:p>
            <w:pPr>
              <w:jc w:val="center"/>
            </w:pPr>
            <w:r>
              <w:rPr>
                <w:rFonts w:ascii="Arial" w:cs="Arial" w:eastAsia="Arial" w:hAnsi="Arial"/>
                <w:i/>
                <w:iCs/>
                <w:color w:val="5D6D7E"/>
                <w:sz w:val="16"/>
                <w:szCs w:val="16"/>
              </w:rPr>
              <w:t xml:space="preserve">Sin detractores nuevos</w:t>
            </w:r>
          </w:p>
        </w:tc>
        <w:tc>
          <w:tcPr>
            <w:tcW w:type="dxa" w:w="234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vAlign w:val="center"/>
          </w:tcPr>
          <w:p>
            <w:pPr>
              <w:jc w:val="center"/>
            </w:pPr>
            <w:r>
              <w:rPr>
                <w:rFonts w:ascii="Arial" w:cs="Arial" w:eastAsia="Arial" w:hAnsi="Arial"/>
                <w:b/>
                <w:bCs/>
                <w:color w:val="C0392B"/>
                <w:sz w:val="36"/>
                <w:szCs w:val="36"/>
              </w:rPr>
              <w:t xml:space="preserve">2</w:t>
            </w:r>
          </w:p>
          <w:p>
            <w:pPr>
              <w:jc w:val="center"/>
            </w:pPr>
            <w:r>
              <w:rPr>
                <w:rFonts w:ascii="Arial" w:cs="Arial" w:eastAsia="Arial" w:hAnsi="Arial"/>
                <w:color w:val="5D6D7E"/>
                <w:sz w:val="18"/>
                <w:szCs w:val="18"/>
              </w:rPr>
              <w:t xml:space="preserve">Clientes Críticos</w:t>
            </w:r>
          </w:p>
          <w:p>
            <w:pPr>
              <w:jc w:val="center"/>
            </w:pPr>
            <w:r>
              <w:rPr>
                <w:rFonts w:ascii="Arial" w:cs="Arial" w:eastAsia="Arial" w:hAnsi="Arial"/>
                <w:i/>
                <w:iCs/>
                <w:color w:val="5D6D7E"/>
                <w:sz w:val="16"/>
                <w:szCs w:val="16"/>
              </w:rPr>
              <w:t xml:space="preserve">NPS -100</w:t>
            </w:r>
          </w:p>
        </w:tc>
        <w:tc>
          <w:tcPr>
            <w:tcW w:type="dxa" w:w="234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vAlign w:val="center"/>
          </w:tcPr>
          <w:p>
            <w:pPr>
              <w:jc w:val="center"/>
            </w:pPr>
            <w:r>
              <w:rPr>
                <w:rFonts w:ascii="Arial" w:cs="Arial" w:eastAsia="Arial" w:hAnsi="Arial"/>
                <w:b/>
                <w:bCs/>
                <w:color w:val="1E8449"/>
                <w:sz w:val="36"/>
                <w:szCs w:val="36"/>
              </w:rPr>
              <w:t xml:space="preserve">92%</w:t>
            </w:r>
          </w:p>
          <w:p>
            <w:pPr>
              <w:jc w:val="center"/>
            </w:pPr>
            <w:r>
              <w:rPr>
                <w:rFonts w:ascii="Arial" w:cs="Arial" w:eastAsia="Arial" w:hAnsi="Arial"/>
                <w:color w:val="5D6D7E"/>
                <w:sz w:val="18"/>
                <w:szCs w:val="18"/>
              </w:rPr>
              <w:t xml:space="preserve">Cadencia de Contacto</w:t>
            </w:r>
          </w:p>
          <w:p>
            <w:pPr>
              <w:jc w:val="center"/>
            </w:pPr>
            <w:r>
              <w:rPr>
                <w:rFonts w:ascii="Arial" w:cs="Arial" w:eastAsia="Arial" w:hAnsi="Arial"/>
                <w:i/>
                <w:iCs/>
                <w:color w:val="5D6D7E"/>
                <w:sz w:val="16"/>
                <w:szCs w:val="16"/>
              </w:rPr>
              <w:t xml:space="preserve">últimos 30 días</w:t>
            </w:r>
          </w:p>
        </w:tc>
      </w:tr>
    </w:tbl>
    <w:p>
      <w:pPr>
        <w:spacing w:after="80" w:before="80"/>
      </w:pPr>
      <w:r>
        <w:t xml:space="preserve"/>
      </w:r>
    </w:p>
    <w:p>
      <w:pPr>
        <w:pStyle w:val="Heading1"/>
        <w:pBdr>
          <w:bottom w:val="single" w:color="1B4F72" w:sz="8" w:space="6"/>
        </w:pBdr>
        <w:spacing w:after="120" w:before="300"/>
      </w:pPr>
      <w:r>
        <w:rPr>
          <w:rFonts w:ascii="Arial" w:cs="Arial" w:eastAsia="Arial" w:hAnsi="Arial"/>
          <w:b/>
          <w:bCs/>
          <w:color w:val="1B4F72"/>
          <w:sz w:val="32"/>
          <w:szCs w:val="32"/>
        </w:rPr>
        <w:t xml:space="preserve">2. Acciones Realizadas Esta Semana</w:t>
      </w:r>
    </w:p>
    <w:p>
      <w:pPr>
        <w:pStyle w:val="Heading2"/>
        <w:spacing w:after="80" w:before="200"/>
      </w:pPr>
      <w:r>
        <w:rPr>
          <w:rFonts w:ascii="Arial" w:cs="Arial" w:eastAsia="Arial" w:hAnsi="Arial"/>
          <w:b/>
          <w:bCs/>
          <w:color w:val="1B4F72"/>
          <w:sz w:val="26"/>
          <w:szCs w:val="26"/>
        </w:rPr>
        <w:t xml:space="preserve">2.1 Gestión de Cartera</w:t>
      </w:r>
    </w:p>
    <w:p>
      <w:pPr>
        <w:pStyle w:val="ListParagraph"/>
        <w:numPr>
          <w:ilvl w:val="0"/>
          <w:numId w:val="2"/>
        </w:numPr>
        <w:spacing w:after="40" w:before="40"/>
      </w:pPr>
      <w:r>
        <w:rPr>
          <w:rFonts w:ascii="Arial" w:cs="Arial" w:eastAsia="Arial" w:hAnsi="Arial"/>
          <w:color w:val="000000"/>
          <w:sz w:val="22"/>
          <w:szCs w:val="22"/>
        </w:rPr>
        <w:t xml:space="preserve">Revisión completa de los 38 clientes: tickets Zendesk, NPS Tracksale y GMV Power BI — identificación de señales de riesgo tempranas.</w:t>
      </w:r>
    </w:p>
    <w:p>
      <w:pPr>
        <w:pStyle w:val="ListParagraph"/>
        <w:numPr>
          <w:ilvl w:val="0"/>
          <w:numId w:val="2"/>
        </w:numPr>
        <w:spacing w:after="40" w:before="40"/>
      </w:pPr>
      <w:r>
        <w:rPr>
          <w:rFonts w:ascii="Arial" w:cs="Arial" w:eastAsia="Arial" w:hAnsi="Arial"/>
          <w:color w:val="000000"/>
          <w:sz w:val="22"/>
          <w:szCs w:val="22"/>
        </w:rPr>
        <w:t xml:space="preserve">Implementación del CS Command Center: dashboard de salud de cartera con health score automático, alertas y predicciones para todos los CSMs del equipo.</w:t>
      </w:r>
    </w:p>
    <w:p>
      <w:pPr>
        <w:pStyle w:val="ListParagraph"/>
        <w:numPr>
          <w:ilvl w:val="0"/>
          <w:numId w:val="2"/>
        </w:numPr>
        <w:spacing w:after="40" w:before="40"/>
      </w:pPr>
      <w:r>
        <w:rPr>
          <w:rFonts w:ascii="Arial" w:cs="Arial" w:eastAsia="Arial" w:hAnsi="Arial"/>
          <w:color w:val="000000"/>
          <w:sz w:val="22"/>
          <w:szCs w:val="22"/>
        </w:rPr>
        <w:t xml:space="preserve">Configuración de sincronización en la nube (GitHub Gist) para acceso multi-dispositivo y trabajo colaborativo con German Rojas.</w:t>
      </w:r>
    </w:p>
    <w:p>
      <w:pPr>
        <w:spacing w:after="80" w:before="80"/>
      </w:pPr>
      <w:r>
        <w:t xml:space="preserve"/>
      </w:r>
    </w:p>
    <w:p>
      <w:pPr>
        <w:pStyle w:val="Heading2"/>
        <w:spacing w:after="80" w:before="200"/>
      </w:pPr>
      <w:r>
        <w:rPr>
          <w:rFonts w:ascii="Arial" w:cs="Arial" w:eastAsia="Arial" w:hAnsi="Arial"/>
          <w:b/>
          <w:bCs/>
          <w:color w:val="1B4F72"/>
          <w:sz w:val="26"/>
          <w:szCs w:val="26"/>
        </w:rPr>
        <w:t xml:space="preserve">2.2 Gestión de Clientes Críticos</w:t>
      </w:r>
    </w:p>
    <w:p>
      <w:pPr>
        <w:pStyle w:val="ListParagraph"/>
        <w:numPr>
          <w:ilvl w:val="0"/>
          <w:numId w:val="2"/>
        </w:numPr>
        <w:spacing w:after="40" w:before="40"/>
      </w:pPr>
      <w:r>
        <w:rPr>
          <w:rFonts w:ascii="Arial" w:cs="Arial" w:eastAsia="Arial" w:hAnsi="Arial"/>
          <w:color w:val="000000"/>
          <w:sz w:val="22"/>
          <w:szCs w:val="22"/>
        </w:rPr>
        <w:t xml:space="preserve">COBOE S/A - BOTIGA (Uruguay): Seguimiento activo por NPS -100. Cliente en estado de alerta máxima. Reunión de rescate en preparación.</w:t>
      </w:r>
    </w:p>
    <w:p>
      <w:pPr>
        <w:pStyle w:val="ListParagraph"/>
        <w:numPr>
          <w:ilvl w:val="0"/>
          <w:numId w:val="2"/>
        </w:numPr>
        <w:spacing w:after="40" w:before="40"/>
      </w:pPr>
      <w:r>
        <w:rPr>
          <w:rFonts w:ascii="Arial" w:cs="Arial" w:eastAsia="Arial" w:hAnsi="Arial"/>
          <w:color w:val="000000"/>
          <w:sz w:val="22"/>
          <w:szCs w:val="22"/>
        </w:rPr>
        <w:t xml:space="preserve">FORUS SA (Chile): Seguimiento por NPS -100. Cliente en proceso de migración Centry → AnyMarket. Coordinación activa con equipo de producto.</w:t>
      </w:r>
    </w:p>
    <w:p>
      <w:pPr>
        <w:pStyle w:val="ListParagraph"/>
        <w:numPr>
          <w:ilvl w:val="0"/>
          <w:numId w:val="2"/>
        </w:numPr>
        <w:spacing w:after="40" w:before="40"/>
      </w:pPr>
      <w:r>
        <w:rPr>
          <w:rFonts w:ascii="Arial" w:cs="Arial" w:eastAsia="Arial" w:hAnsi="Arial"/>
          <w:color w:val="000000"/>
          <w:sz w:val="22"/>
          <w:szCs w:val="22"/>
        </w:rPr>
        <w:t xml:space="preserve">FORUS COLOMBIA: Migración bloqueada por Dafiti (marketplace que no habilita acceso API). Gestión con equipo técnico y PM para desbloqueo.</w:t>
      </w:r>
    </w:p>
    <w:p>
      <w:pPr>
        <w:spacing w:after="80" w:before="80"/>
      </w:pPr>
      <w:r>
        <w:t xml:space="preserve"/>
      </w:r>
    </w:p>
    <w:p>
      <w:pPr>
        <w:pStyle w:val="Heading2"/>
        <w:spacing w:after="80" w:before="200"/>
      </w:pPr>
      <w:r>
        <w:rPr>
          <w:rFonts w:ascii="Arial" w:cs="Arial" w:eastAsia="Arial" w:hAnsi="Arial"/>
          <w:b/>
          <w:bCs/>
          <w:color w:val="1B4F72"/>
          <w:sz w:val="26"/>
          <w:szCs w:val="26"/>
        </w:rPr>
        <w:t xml:space="preserve">2.3 Resolución de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Cliente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Ticket / Estado</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MAUI AND SONS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#32047 — Carga documentos tributarios sellers. Urgente desde 25-jun. En seguimiento con soporte.</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LOUNGE S/A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#31639 — Diferencias de stock con bodegas Full. Abierto desde 24-jun. Análisis en curso.</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POINTBREAK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#31258 — Pedidos sin detalle de documento tributario. Urgente desde 23-jun. Escalado.</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COLOMBIANA DE COMERCIO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#32320 — Consulta comercial. Abierto desde 26-jun. Respuesta enviada.</w:t>
            </w:r>
          </w:p>
        </w:tc>
      </w:tr>
    </w:tbl>
    <w:p>
      <w:pPr>
        <w:spacing w:after="80" w:before="80"/>
      </w:pPr>
      <w:r>
        <w:t xml:space="preserve"/>
      </w:r>
    </w:p>
    <w:p>
      <w:pPr>
        <w:pStyle w:val="Heading2"/>
        <w:spacing w:after="80" w:before="200"/>
      </w:pPr>
      <w:r>
        <w:rPr>
          <w:rFonts w:ascii="Arial" w:cs="Arial" w:eastAsia="Arial" w:hAnsi="Arial"/>
          <w:b/>
          <w:bCs/>
          <w:color w:val="1B4F72"/>
          <w:sz w:val="26"/>
          <w:szCs w:val="26"/>
        </w:rPr>
        <w:t xml:space="preserve">2.4 Gestión de GMV y Operación</w:t>
      </w:r>
    </w:p>
    <w:p>
      <w:pPr>
        <w:pStyle w:val="ListParagraph"/>
        <w:numPr>
          <w:ilvl w:val="0"/>
          <w:numId w:val="2"/>
        </w:numPr>
        <w:spacing w:after="40" w:before="40"/>
      </w:pPr>
      <w:r>
        <w:rPr>
          <w:rFonts w:ascii="Arial" w:cs="Arial" w:eastAsia="Arial" w:hAnsi="Arial"/>
          <w:color w:val="000000"/>
          <w:sz w:val="22"/>
          <w:szCs w:val="22"/>
        </w:rPr>
        <w:t xml:space="preserve">Extracción y análisis de GMV junio 2026 para cartera Chile (Power BI): 10 clientes mapeados con valores reales.</w:t>
      </w:r>
    </w:p>
    <w:p>
      <w:pPr>
        <w:pStyle w:val="ListParagraph"/>
        <w:numPr>
          <w:ilvl w:val="0"/>
          <w:numId w:val="2"/>
        </w:numPr>
        <w:spacing w:after="40" w:before="40"/>
      </w:pPr>
      <w:r>
        <w:rPr>
          <w:rFonts w:ascii="Arial" w:cs="Arial" w:eastAsia="Arial" w:hAnsi="Arial"/>
          <w:color w:val="000000"/>
          <w:sz w:val="22"/>
          <w:szCs w:val="22"/>
        </w:rPr>
        <w:t xml:space="preserve">Identificación de EMMA SLEEP CL como principal cliente por GMV ($97.7B CLP/mes) y MAUI AND SONS como segundo ($74.7B CLP/mes).</w:t>
      </w:r>
    </w:p>
    <w:p>
      <w:pPr>
        <w:pStyle w:val="ListParagraph"/>
        <w:numPr>
          <w:ilvl w:val="0"/>
          <w:numId w:val="2"/>
        </w:numPr>
        <w:spacing w:after="40" w:before="40"/>
      </w:pPr>
      <w:r>
        <w:rPr>
          <w:rFonts w:ascii="Arial" w:cs="Arial" w:eastAsia="Arial" w:hAnsi="Arial"/>
          <w:color w:val="000000"/>
          <w:sz w:val="22"/>
          <w:szCs w:val="22"/>
        </w:rPr>
        <w:t xml:space="preserve">Validación de operación de clientes Centry (FORUS SA, FORUS COLOMBIA, GINO, BEITGROUP PILLIN): sin datos AnyMarket por estar en migración activa.</w:t>
      </w:r>
    </w:p>
    <w:p>
      <w:pPr>
        <w:spacing w:after="80" w:before="80"/>
      </w:pPr>
      <w:r>
        <w:t xml:space="preserve"/>
      </w:r>
    </w:p>
    <w:p>
      <w:pPr>
        <w:pStyle w:val="Heading1"/>
        <w:pBdr>
          <w:bottom w:val="single" w:color="1B4F72" w:sz="8" w:space="6"/>
        </w:pBdr>
        <w:spacing w:after="120" w:before="300"/>
      </w:pPr>
      <w:r>
        <w:rPr>
          <w:rFonts w:ascii="Arial" w:cs="Arial" w:eastAsia="Arial" w:hAnsi="Arial"/>
          <w:b/>
          <w:bCs/>
          <w:color w:val="1B4F72"/>
          <w:sz w:val="32"/>
          <w:szCs w:val="32"/>
        </w:rPr>
        <w:t xml:space="preserve">3. Estado de Cartera por Segmento</w:t>
      </w:r>
    </w:p>
    <w:p>
      <w:pPr>
        <w:pStyle w:val="Heading2"/>
        <w:spacing w:after="80" w:before="200"/>
      </w:pPr>
      <w:r>
        <w:rPr>
          <w:rFonts w:ascii="Arial" w:cs="Arial" w:eastAsia="Arial" w:hAnsi="Arial"/>
          <w:b/>
          <w:bCs/>
          <w:color w:val="1B4F72"/>
          <w:sz w:val="26"/>
          <w:szCs w:val="26"/>
        </w:rPr>
        <w:t xml:space="preserve">3.1 Top 10 Clientes por GMV — Junio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1500"/>
        <w:gridCol w:w="136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Cliente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GMV Mensual</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País</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Health</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EMMA SLEEP - CL</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$97.7B CLP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Chile</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 Sano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MAUI AND SONS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$74.7B CLP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Chile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Observación</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EMMA SLEEP - CO</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$41.4B CLP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Colombia</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 Sano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LOI CHILE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$18.2B CLP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Chile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Sano</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BELCORP Colombia</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$16.4B CLP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Colombia</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 Sano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LACOSTE - CL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$14.4B CLP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Chile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Sano</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FASHIONS PARK</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$12.9B CLP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Chile</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 Sano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KAYSER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$11.4B CLP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Chile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Sano</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PROSURF</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$11.1B CLP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Chile</w:t>
            </w:r>
          </w:p>
        </w:tc>
        <w:tc>
          <w:tcPr>
            <w:tcW w:type="dxa" w:w="1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 Sano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TRAMONTINA - CL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$9.6B CLP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Chile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Sano</w:t>
            </w:r>
          </w:p>
        </w:tc>
      </w:tr>
    </w:tbl>
    <w:p>
      <w:pPr>
        <w:spacing w:after="80" w:before="80"/>
      </w:pPr>
      <w:r>
        <w:t xml:space="preserve"/>
      </w:r>
    </w:p>
    <w:p>
      <w:pPr>
        <w:pStyle w:val="Heading2"/>
        <w:spacing w:after="80" w:before="200"/>
      </w:pPr>
      <w:r>
        <w:rPr>
          <w:rFonts w:ascii="Arial" w:cs="Arial" w:eastAsia="Arial" w:hAnsi="Arial"/>
          <w:b/>
          <w:bCs/>
          <w:color w:val="1B4F72"/>
          <w:sz w:val="26"/>
          <w:szCs w:val="26"/>
        </w:rPr>
        <w:t xml:space="preserve">3.2 Clientes en Riesgo y Acción Crítica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Cliente</w:t>
            </w:r>
          </w:p>
        </w:tc>
        <w:tc>
          <w:tcPr>
            <w:tcW w:type="dxa" w:w="1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2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Causa</w:t>
            </w:r>
          </w:p>
        </w:tc>
        <w:tc>
          <w:tcPr>
            <w:tcW w:type="dxa" w:w="2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COBOE S/A - BOTIGA (UY)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NPS -100</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Cliente insatisfecho. Sin causa raíz documentada. Riesgo churn alto.</w:t>
            </w:r>
          </w:p>
        </w:tc>
        <w:tc>
          <w:tcPr>
            <w:tcW w:type="dxa" w:w="2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Reunión de rescate + root cause analysis. Plan de acción 30 días.</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FORUS SA (CL)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NPS -100</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En proceso de migración Centry → AnyMarket. Operación en transición.</w:t>
            </w:r>
          </w:p>
        </w:tc>
        <w:tc>
          <w:tcPr>
            <w:tcW w:type="dxa" w:w="2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Acompañamiento activo en migración. Reunión ejecutiva con stakeholders.</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FORUS COLOMBIA (CO)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Migración</w:t>
            </w:r>
          </w:p>
        </w:tc>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Dafiti bloqueó acceso API. Impide completar integración marketplace.</w:t>
            </w:r>
          </w:p>
        </w:tc>
        <w:tc>
          <w:tcPr>
            <w:tcW w:type="dxa" w:w="2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Escalación con PM + equipo técnico. Gestión directa con Dafiti.</w:t>
            </w:r>
          </w:p>
        </w:tc>
      </w:tr>
    </w:tbl>
    <w:p>
      <w:pPr>
        <w:spacing w:after="80" w:before="80"/>
      </w:pPr>
      <w:r>
        <w:t xml:space="preserve"/>
      </w:r>
    </w:p>
    <w:p>
      <w:pPr>
        <w:pStyle w:val="Heading1"/>
        <w:pBdr>
          <w:bottom w:val="single" w:color="1B4F72" w:sz="8" w:space="6"/>
        </w:pBdr>
        <w:spacing w:after="120" w:before="300"/>
      </w:pPr>
      <w:r>
        <w:rPr>
          <w:rFonts w:ascii="Arial" w:cs="Arial" w:eastAsia="Arial" w:hAnsi="Arial"/>
          <w:b/>
          <w:bCs/>
          <w:color w:val="1B4F72"/>
          <w:sz w:val="32"/>
          <w:szCs w:val="32"/>
        </w:rPr>
        <w:t xml:space="preserve">4. Valor Entregado al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100"/>
              <w:left w:type="dxa" w:w="180"/>
              <w:bottom w:type="dxa" w:w="100"/>
              <w:right w:type="dxa" w:w="180"/>
            </w:tcMar>
          </w:tcPr>
          <w:p>
            <w:r>
              <w:rPr>
                <w:rFonts w:ascii="Arial" w:cs="Arial" w:eastAsia="Arial" w:hAnsi="Arial"/>
                <w:b/>
                <w:bCs/>
                <w:color w:val="1B4F72"/>
                <w:sz w:val="24"/>
                <w:szCs w:val="24"/>
              </w:rPr>
              <w:t xml:space="preserve">GMV Monitoreado y Activo</w:t>
            </w:r>
          </w:p>
          <w:p>
            <w:r>
              <w:rPr>
                <w:rFonts w:ascii="Arial" w:cs="Arial" w:eastAsia="Arial" w:hAnsi="Arial"/>
                <w:sz w:val="20"/>
                <w:szCs w:val="20"/>
              </w:rPr>
              <w:t xml:space="preserve">$328 Billones CLP / mes — 10 clientes Chile mapeados con datos reales de Power BI.</w:t>
            </w:r>
          </w:p>
        </w:tc>
        <w:tc>
          <w:tcPr>
            <w:tcW w:type="dxa" w:w="4680"/>
            <w:tcBorders>
              <w:top w:val="single" w:color="CCCCCC" w:sz="1"/>
              <w:left w:val="single" w:color="CCCCCC" w:sz="1"/>
              <w:bottom w:val="single" w:color="CCCCCC" w:sz="1"/>
              <w:right w:val="single" w:color="CCCCCC" w:sz="1"/>
            </w:tcBorders>
            <w:shd w:fill="D5F5E3" w:val="clear"/>
            <w:tcMar>
              <w:top w:type="dxa" w:w="100"/>
              <w:left w:type="dxa" w:w="180"/>
              <w:bottom w:type="dxa" w:w="100"/>
              <w:right w:type="dxa" w:w="180"/>
            </w:tcMar>
          </w:tcPr>
          <w:p>
            <w:r>
              <w:rPr>
                <w:rFonts w:ascii="Arial" w:cs="Arial" w:eastAsia="Arial" w:hAnsi="Arial"/>
                <w:b/>
                <w:bCs/>
                <w:color w:val="1E8449"/>
                <w:sz w:val="24"/>
                <w:szCs w:val="24"/>
              </w:rPr>
              <w:t xml:space="preserve">Revenue Protegido</w:t>
            </w:r>
          </w:p>
          <w:p>
            <w:r>
              <w:rPr>
                <w:rFonts w:ascii="Arial" w:cs="Arial" w:eastAsia="Arial" w:hAnsi="Arial"/>
                <w:sz w:val="20"/>
                <w:szCs w:val="20"/>
              </w:rPr>
              <w:t xml:space="preserve">USD 46.644/mes en MRR activo. 0 churns en el período. Tasa de retención: 100%.</w:t>
            </w:r>
          </w:p>
        </w:tc>
      </w:tr>
      <w:tr>
        <w:tc>
          <w:tcPr>
            <w:tcW w:type="dxa" w:w="4680"/>
            <w:tcBorders>
              <w:top w:val="single" w:color="CCCCCC" w:sz="1"/>
              <w:left w:val="single" w:color="CCCCCC" w:sz="1"/>
              <w:bottom w:val="single" w:color="CCCCCC" w:sz="1"/>
              <w:right w:val="single" w:color="CCCCCC" w:sz="1"/>
            </w:tcBorders>
            <w:shd w:fill="D5F5E3" w:val="clear"/>
            <w:tcMar>
              <w:top w:type="dxa" w:w="100"/>
              <w:left w:type="dxa" w:w="180"/>
              <w:bottom w:type="dxa" w:w="100"/>
              <w:right w:type="dxa" w:w="180"/>
            </w:tcMar>
          </w:tcPr>
          <w:p>
            <w:r>
              <w:rPr>
                <w:rFonts w:ascii="Arial" w:cs="Arial" w:eastAsia="Arial" w:hAnsi="Arial"/>
                <w:b/>
                <w:bCs/>
                <w:color w:val="1E8449"/>
                <w:sz w:val="24"/>
                <w:szCs w:val="24"/>
              </w:rPr>
              <w:t xml:space="preserve">Cadencia de Contacto</w:t>
            </w:r>
          </w:p>
          <w:p>
            <w:r>
              <w:rPr>
                <w:rFonts w:ascii="Arial" w:cs="Arial" w:eastAsia="Arial" w:hAnsi="Arial"/>
                <w:sz w:val="20"/>
                <w:szCs w:val="20"/>
              </w:rPr>
              <w:t xml:space="preserve">92% de la cartera contactada en los últimos 30 días (35/38 clientes). Por encima del benchmark de 85%.</w:t>
            </w:r>
          </w:p>
        </w:tc>
        <w:tc>
          <w:tcPr>
            <w:tcW w:type="dxa" w:w="4680"/>
            <w:tcBorders>
              <w:top w:val="single" w:color="CCCCCC" w:sz="1"/>
              <w:left w:val="single" w:color="CCCCCC" w:sz="1"/>
              <w:bottom w:val="single" w:color="CCCCCC" w:sz="1"/>
              <w:right w:val="single" w:color="CCCCCC" w:sz="1"/>
            </w:tcBorders>
            <w:shd w:fill="D6EAF8" w:val="clear"/>
            <w:tcMar>
              <w:top w:type="dxa" w:w="100"/>
              <w:left w:type="dxa" w:w="180"/>
              <w:bottom w:type="dxa" w:w="100"/>
              <w:right w:type="dxa" w:w="180"/>
            </w:tcMar>
          </w:tcPr>
          <w:p>
            <w:r>
              <w:rPr>
                <w:rFonts w:ascii="Arial" w:cs="Arial" w:eastAsia="Arial" w:hAnsi="Arial"/>
                <w:b/>
                <w:bCs/>
                <w:color w:val="1B4F72"/>
                <w:sz w:val="24"/>
                <w:szCs w:val="24"/>
              </w:rPr>
              <w:t xml:space="preserve">Herramienta de Gestión</w:t>
            </w:r>
          </w:p>
          <w:p>
            <w:r>
              <w:rPr>
                <w:rFonts w:ascii="Arial" w:cs="Arial" w:eastAsia="Arial" w:hAnsi="Arial"/>
                <w:sz w:val="20"/>
                <w:szCs w:val="20"/>
              </w:rPr>
              <w:t xml:space="preserve">CS Command Center implementado y operativo. Health Score automático, alertas, predicciones y sync en tiempo real para el equipo.</w:t>
            </w:r>
          </w:p>
        </w:tc>
      </w:tr>
    </w:tbl>
    <w:p>
      <w:pPr>
        <w:spacing w:after="80" w:before="80"/>
      </w:pPr>
      <w:r>
        <w:t xml:space="preserve"/>
      </w:r>
    </w:p>
    <w:p>
      <w:pPr>
        <w:pStyle w:val="Heading1"/>
        <w:pBdr>
          <w:bottom w:val="single" w:color="1B4F72" w:sz="8" w:space="6"/>
        </w:pBdr>
        <w:spacing w:after="120" w:before="300"/>
      </w:pPr>
      <w:r>
        <w:rPr>
          <w:rFonts w:ascii="Arial" w:cs="Arial" w:eastAsia="Arial" w:hAnsi="Arial"/>
          <w:b/>
          <w:bCs/>
          <w:color w:val="1B4F72"/>
          <w:sz w:val="32"/>
          <w:szCs w:val="32"/>
        </w:rPr>
        <w:t xml:space="preserve">5. Proyecto Migraciones Centry → AnyMarket</w:t>
      </w:r>
    </w:p>
    <w:p>
      <w:pPr>
        <w:spacing w:after="60" w:before="60"/>
      </w:pPr>
      <w:r>
        <w:rPr>
          <w:rFonts w:ascii="Arial" w:cs="Arial" w:eastAsia="Arial" w:hAnsi="Arial"/>
          <w:sz w:val="22"/>
          <w:szCs w:val="22"/>
        </w:rPr>
        <w:t xml:space="preserve">Cuatro clientes de la cartera se encuentran en proceso activo de migración desde la plataforma legacy Centry hacia AnyMarket. Este es un proyecto estratégico con impacto directo en adopción de producto y upsell.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Cliente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Estado de Migración</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FORUS SA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En proceso activo. Sin bloqueos. Coordinación con PM.</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FORUS COLOMBIA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BLOQUEADO — Dafiti no habilita acceso API. Requiere escalación urgente.</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FORUS PERU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En proceso. Sin incidencias reportadas.</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000000"/>
                <w:sz w:val="20"/>
                <w:szCs w:val="20"/>
              </w:rPr>
              <w:t xml:space="preserve">GINO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En proceso. Sin incidencias reportadas.</w:t>
            </w:r>
          </w:p>
        </w:tc>
      </w:tr>
    </w:tbl>
    <w:p>
      <w:pPr>
        <w:spacing w:after="80" w:before="80"/>
      </w:pPr>
      <w:r>
        <w:t xml:space="preserve"/>
      </w:r>
    </w:p>
    <w:p>
      <w:pPr>
        <w:spacing w:after="60" w:before="60"/>
      </w:pPr>
      <w:r>
        <w:rPr>
          <w:rFonts w:ascii="Arial" w:cs="Arial" w:eastAsia="Arial" w:hAnsi="Arial"/>
          <w:b/>
          <w:bCs/>
          <w:color w:val="1B4F72"/>
          <w:sz w:val="22"/>
          <w:szCs w:val="22"/>
        </w:rPr>
        <w:t xml:space="preserve">Impacto estimado post-migración: USD +35.000/mes en GMV adicional procesado en AnyMarket + activación completa de AnyTools (Use Points).</w:t>
      </w:r>
    </w:p>
    <w:p>
      <w:pPr>
        <w:spacing w:after="80" w:before="80"/>
      </w:pPr>
      <w:r>
        <w:t xml:space="preserve"/>
      </w:r>
    </w:p>
    <w:p>
      <w:pPr>
        <w:pStyle w:val="Heading1"/>
        <w:pBdr>
          <w:bottom w:val="single" w:color="1B4F72" w:sz="8" w:space="6"/>
        </w:pBdr>
        <w:spacing w:after="120" w:before="300"/>
      </w:pPr>
      <w:r>
        <w:rPr>
          <w:rFonts w:ascii="Arial" w:cs="Arial" w:eastAsia="Arial" w:hAnsi="Arial"/>
          <w:b/>
          <w:bCs/>
          <w:color w:val="1B4F72"/>
          <w:sz w:val="32"/>
          <w:szCs w:val="32"/>
        </w:rPr>
        <w:t xml:space="preserve">6. Plan de Acción — Próximas 4 Semanas</w:t>
      </w:r>
    </w:p>
    <w:p>
      <w:pPr>
        <w:pStyle w:val="Heading2"/>
        <w:spacing w:after="80" w:before="200"/>
      </w:pPr>
      <w:r>
        <w:rPr>
          <w:rFonts w:ascii="Arial" w:cs="Arial" w:eastAsia="Arial" w:hAnsi="Arial"/>
          <w:b/>
          <w:bCs/>
          <w:color w:val="1B4F72"/>
          <w:sz w:val="26"/>
          <w:szCs w:val="26"/>
        </w:rPr>
        <w:t xml:space="preserve">6.1 Esta Semana (Semana 1 — Jul 2026)</w:t>
      </w:r>
    </w:p>
    <w:p>
      <w:pPr>
        <w:pStyle w:val="ListParagraph"/>
        <w:numPr>
          <w:ilvl w:val="0"/>
          <w:numId w:val="2"/>
        </w:numPr>
        <w:spacing w:after="40" w:before="40"/>
      </w:pPr>
      <w:r>
        <w:rPr>
          <w:rFonts w:ascii="Arial" w:cs="Arial" w:eastAsia="Arial" w:hAnsi="Arial"/>
          <w:color w:val="000000"/>
          <w:sz w:val="22"/>
          <w:szCs w:val="22"/>
        </w:rPr>
        <w:t xml:space="preserve">COBOE BOTIGA: Reunión de rescate + diagnóstico NPS -100. Identificar causa raíz y plan de acción concreto.</w:t>
      </w:r>
    </w:p>
    <w:p>
      <w:pPr>
        <w:pStyle w:val="ListParagraph"/>
        <w:numPr>
          <w:ilvl w:val="0"/>
          <w:numId w:val="2"/>
        </w:numPr>
        <w:spacing w:after="40" w:before="40"/>
      </w:pPr>
      <w:r>
        <w:rPr>
          <w:rFonts w:ascii="Arial" w:cs="Arial" w:eastAsia="Arial" w:hAnsi="Arial"/>
          <w:color w:val="000000"/>
          <w:sz w:val="22"/>
          <w:szCs w:val="22"/>
        </w:rPr>
        <w:t xml:space="preserve">FORUS COLOMBIA: Desbloquear integración Dafiti con PM técnico. Comunicar timeline al cliente.</w:t>
      </w:r>
    </w:p>
    <w:p>
      <w:pPr>
        <w:pStyle w:val="ListParagraph"/>
        <w:numPr>
          <w:ilvl w:val="0"/>
          <w:numId w:val="2"/>
        </w:numPr>
        <w:spacing w:after="40" w:before="40"/>
      </w:pPr>
      <w:r>
        <w:rPr>
          <w:rFonts w:ascii="Arial" w:cs="Arial" w:eastAsia="Arial" w:hAnsi="Arial"/>
          <w:color w:val="000000"/>
          <w:sz w:val="22"/>
          <w:szCs w:val="22"/>
        </w:rPr>
        <w:t xml:space="preserve">Cerrar tickets críticos: MAUI AND SONS (#32047), LOUNGE (#31639), POINTBREAK (#31258).</w:t>
      </w:r>
    </w:p>
    <w:p>
      <w:pPr>
        <w:pStyle w:val="ListParagraph"/>
        <w:numPr>
          <w:ilvl w:val="0"/>
          <w:numId w:val="2"/>
        </w:numPr>
        <w:spacing w:after="40" w:before="40"/>
      </w:pPr>
      <w:r>
        <w:rPr>
          <w:rFonts w:ascii="Arial" w:cs="Arial" w:eastAsia="Arial" w:hAnsi="Arial"/>
          <w:color w:val="000000"/>
          <w:sz w:val="22"/>
          <w:szCs w:val="22"/>
        </w:rPr>
        <w:t xml:space="preserve">Extracción GMV Power BI para Uruguay (UYU), Colombia (COP), México (MXN) y Perú (PEN).</w:t>
      </w:r>
    </w:p>
    <w:p>
      <w:pPr>
        <w:spacing w:after="80" w:before="80"/>
      </w:pPr>
      <w:r>
        <w:t xml:space="preserve"/>
      </w:r>
    </w:p>
    <w:p>
      <w:pPr>
        <w:pStyle w:val="Heading2"/>
        <w:spacing w:after="80" w:before="200"/>
      </w:pPr>
      <w:r>
        <w:rPr>
          <w:rFonts w:ascii="Arial" w:cs="Arial" w:eastAsia="Arial" w:hAnsi="Arial"/>
          <w:b/>
          <w:bCs/>
          <w:color w:val="1B4F72"/>
          <w:sz w:val="26"/>
          <w:szCs w:val="26"/>
        </w:rPr>
        <w:t xml:space="preserve">6.2 Próximas 2 Semanas</w:t>
      </w:r>
    </w:p>
    <w:p>
      <w:pPr>
        <w:pStyle w:val="ListParagraph"/>
        <w:numPr>
          <w:ilvl w:val="0"/>
          <w:numId w:val="2"/>
        </w:numPr>
        <w:spacing w:after="40" w:before="40"/>
      </w:pPr>
      <w:r>
        <w:rPr>
          <w:rFonts w:ascii="Arial" w:cs="Arial" w:eastAsia="Arial" w:hAnsi="Arial"/>
          <w:color w:val="000000"/>
          <w:sz w:val="22"/>
          <w:szCs w:val="22"/>
        </w:rPr>
        <w:t xml:space="preserve">QBR preparación: FORUS SA, EMMA SLEEP CL/CO, MAUI AND SONS — clientes de mayor GMV.</w:t>
      </w:r>
    </w:p>
    <w:p>
      <w:pPr>
        <w:pStyle w:val="ListParagraph"/>
        <w:numPr>
          <w:ilvl w:val="0"/>
          <w:numId w:val="2"/>
        </w:numPr>
        <w:spacing w:after="40" w:before="40"/>
      </w:pPr>
      <w:r>
        <w:rPr>
          <w:rFonts w:ascii="Arial" w:cs="Arial" w:eastAsia="Arial" w:hAnsi="Arial"/>
          <w:color w:val="000000"/>
          <w:sz w:val="22"/>
          <w:szCs w:val="22"/>
        </w:rPr>
        <w:t xml:space="preserve">NPS Recovery Plan: COBOE BOTIGA + FORUS SA — objetivo llevar de -100 a neutral (0) en 30 días.</w:t>
      </w:r>
    </w:p>
    <w:p>
      <w:pPr>
        <w:pStyle w:val="ListParagraph"/>
        <w:numPr>
          <w:ilvl w:val="0"/>
          <w:numId w:val="2"/>
        </w:numPr>
        <w:spacing w:after="40" w:before="40"/>
      </w:pPr>
      <w:r>
        <w:rPr>
          <w:rFonts w:ascii="Arial" w:cs="Arial" w:eastAsia="Arial" w:hAnsi="Arial"/>
          <w:color w:val="000000"/>
          <w:sz w:val="22"/>
          <w:szCs w:val="22"/>
        </w:rPr>
        <w:t xml:space="preserve">Use Points review: validar adopción en clientes non-Centry — identificar candidatos a upsell.</w:t>
      </w:r>
    </w:p>
    <w:p>
      <w:pPr>
        <w:spacing w:after="80" w:before="80"/>
      </w:pPr>
      <w:r>
        <w:t xml:space="preserve"/>
      </w:r>
    </w:p>
    <w:p>
      <w:pPr>
        <w:pStyle w:val="Heading2"/>
        <w:spacing w:after="80" w:before="200"/>
      </w:pPr>
      <w:r>
        <w:rPr>
          <w:rFonts w:ascii="Arial" w:cs="Arial" w:eastAsia="Arial" w:hAnsi="Arial"/>
          <w:b/>
          <w:bCs/>
          <w:color w:val="1B4F72"/>
          <w:sz w:val="26"/>
          <w:szCs w:val="26"/>
        </w:rPr>
        <w:t xml:space="preserve">6.3 Próximo Mes</w:t>
      </w:r>
    </w:p>
    <w:p>
      <w:pPr>
        <w:pStyle w:val="ListParagraph"/>
        <w:numPr>
          <w:ilvl w:val="0"/>
          <w:numId w:val="2"/>
        </w:numPr>
        <w:spacing w:after="40" w:before="40"/>
      </w:pPr>
      <w:r>
        <w:rPr>
          <w:rFonts w:ascii="Arial" w:cs="Arial" w:eastAsia="Arial" w:hAnsi="Arial"/>
          <w:color w:val="000000"/>
          <w:sz w:val="22"/>
          <w:szCs w:val="22"/>
        </w:rPr>
        <w:t xml:space="preserve">Executive Business Review con FORUS SA: post-migración, definir objetivos Q3.</w:t>
      </w:r>
    </w:p>
    <w:p>
      <w:pPr>
        <w:pStyle w:val="ListParagraph"/>
        <w:numPr>
          <w:ilvl w:val="0"/>
          <w:numId w:val="2"/>
        </w:numPr>
        <w:spacing w:after="40" w:before="40"/>
      </w:pPr>
      <w:r>
        <w:rPr>
          <w:rFonts w:ascii="Arial" w:cs="Arial" w:eastAsia="Arial" w:hAnsi="Arial"/>
          <w:color w:val="000000"/>
          <w:sz w:val="22"/>
          <w:szCs w:val="22"/>
        </w:rPr>
        <w:t xml:space="preserve">Activar conversación de expansión con EMMA SLEEP: TikTok Shop + nuevos marketplaces Colombia.</w:t>
      </w:r>
    </w:p>
    <w:p>
      <w:pPr>
        <w:pStyle w:val="ListParagraph"/>
        <w:numPr>
          <w:ilvl w:val="0"/>
          <w:numId w:val="2"/>
        </w:numPr>
        <w:spacing w:after="40" w:before="40"/>
      </w:pPr>
      <w:r>
        <w:rPr>
          <w:rFonts w:ascii="Arial" w:cs="Arial" w:eastAsia="Arial" w:hAnsi="Arial"/>
          <w:color w:val="000000"/>
          <w:sz w:val="22"/>
          <w:szCs w:val="22"/>
        </w:rPr>
        <w:t xml:space="preserve">Revenue expansion: MAUI AND SONS → AnyTools Repricing (impacto estimado USD +500/mes).</w:t>
      </w:r>
    </w:p>
    <w:p>
      <w:pPr>
        <w:pStyle w:val="ListParagraph"/>
        <w:numPr>
          <w:ilvl w:val="0"/>
          <w:numId w:val="2"/>
        </w:numPr>
        <w:spacing w:after="40" w:before="40"/>
      </w:pPr>
      <w:r>
        <w:rPr>
          <w:rFonts w:ascii="Arial" w:cs="Arial" w:eastAsia="Arial" w:hAnsi="Arial"/>
          <w:color w:val="000000"/>
          <w:sz w:val="22"/>
          <w:szCs w:val="22"/>
        </w:rPr>
        <w:t xml:space="preserve">Completar datos de adopción (Use Points) para toda la cartera no-Centry.</w:t>
      </w:r>
    </w:p>
    <w:p>
      <w:pPr>
        <w:spacing w:after="80" w:before="80"/>
      </w:pPr>
      <w:r>
        <w:t xml:space="preserve"/>
      </w:r>
    </w:p>
    <w:p>
      <w:pPr>
        <w:pStyle w:val="Heading1"/>
        <w:pBdr>
          <w:bottom w:val="single" w:color="1B4F72" w:sz="8" w:space="6"/>
        </w:pBdr>
        <w:spacing w:after="120" w:before="300"/>
      </w:pPr>
      <w:r>
        <w:rPr>
          <w:rFonts w:ascii="Arial" w:cs="Arial" w:eastAsia="Arial" w:hAnsi="Arial"/>
          <w:b/>
          <w:bCs/>
          <w:color w:val="1B4F72"/>
          <w:sz w:val="32"/>
          <w:szCs w:val="32"/>
        </w:rPr>
        <w:t xml:space="preserve">7. Oportunidades de Expansión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Cliente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Oportunidad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Próximo Paso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EMMA SLEEP CL/CO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TikTok Shop + Nuevos MP</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Alto — ampliar GMV 20%+</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Agendar reunión estratégica Q3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MAUI AND SONS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AnyTools Repricing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+500/mes MRR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Presentar propuesta en reunión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FORUS SA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AnyTools completo</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USD +2.000/mes post-mig</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Incluir en QBR post-migración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LACOSTE CL/GEN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Expansión regional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Mapear marketplaces activos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BELCORP GRUPO</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 Cross-sell 3 países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Medio</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Reunión con sponsor regional</w:t>
            </w:r>
          </w:p>
        </w:tc>
      </w:tr>
    </w:tbl>
    <w:p>
      <w:pPr>
        <w:spacing w:after="80" w:before="80"/>
      </w:pPr>
      <w:r>
        <w:t xml:space="preserve"/>
      </w:r>
    </w:p>
    <w:p>
      <w:pPr>
        <w:pStyle w:val="Heading1"/>
        <w:pBdr>
          <w:bottom w:val="single" w:color="1B4F72" w:sz="8" w:space="6"/>
        </w:pBdr>
        <w:spacing w:after="120" w:before="300"/>
      </w:pPr>
      <w:r>
        <w:rPr>
          <w:rFonts w:ascii="Arial" w:cs="Arial" w:eastAsia="Arial" w:hAnsi="Arial"/>
          <w:b/>
          <w:bCs/>
          <w:color w:val="1B4F72"/>
          <w:sz w:val="32"/>
          <w:szCs w:val="32"/>
        </w:rPr>
        <w:t xml:space="preserve">8. Solicitudes a Dirección</w:t>
      </w:r>
    </w:p>
    <w:p>
      <w:pPr>
        <w:pStyle w:val="ListParagraph"/>
        <w:numPr>
          <w:ilvl w:val="0"/>
          <w:numId w:val="2"/>
        </w:numPr>
        <w:spacing w:after="40" w:before="40"/>
      </w:pPr>
      <w:r>
        <w:rPr>
          <w:rFonts w:ascii="Arial" w:cs="Arial" w:eastAsia="Arial" w:hAnsi="Arial"/>
          <w:color w:val="C0392B"/>
          <w:sz w:val="22"/>
          <w:szCs w:val="22"/>
        </w:rPr>
        <w:t xml:space="preserve">FORUS COLOMBIA — Dafiti: Se requiere apoyo de Dirección para gestionar la relación con Dafiti a nivel ejecutivo y desbloquear la integración. El cliente lleva más de 30 días bloqueado.</w:t>
      </w:r>
    </w:p>
    <w:p>
      <w:pPr>
        <w:pStyle w:val="ListParagraph"/>
        <w:numPr>
          <w:ilvl w:val="0"/>
          <w:numId w:val="2"/>
        </w:numPr>
        <w:spacing w:after="40" w:before="40"/>
      </w:pPr>
      <w:r>
        <w:rPr>
          <w:rFonts w:ascii="Arial" w:cs="Arial" w:eastAsia="Arial" w:hAnsi="Arial"/>
          <w:color w:val="D35400"/>
          <w:sz w:val="22"/>
          <w:szCs w:val="22"/>
        </w:rPr>
        <w:t xml:space="preserve">Coboe Botiga — Plan de rescate: NPS -100 requiere un abordaje ejecutivo. Solicito aval para involucrar al Director en una reunión de valor con el cliente.</w:t>
      </w:r>
    </w:p>
    <w:p>
      <w:pPr>
        <w:pStyle w:val="ListParagraph"/>
        <w:numPr>
          <w:ilvl w:val="0"/>
          <w:numId w:val="2"/>
        </w:numPr>
        <w:spacing w:after="40" w:before="40"/>
      </w:pPr>
      <w:r>
        <w:rPr>
          <w:rFonts w:ascii="Arial" w:cs="Arial" w:eastAsia="Arial" w:hAnsi="Arial"/>
          <w:color w:val="000000"/>
          <w:sz w:val="22"/>
          <w:szCs w:val="22"/>
        </w:rPr>
        <w:t xml:space="preserve">Recursos de expansión: Para avanzar en las oportunidades de TikTok Shop (Emma Sleep) y Repricing (Maui), se necesita soporte del equipo de Producto para demos y propuestas.</w:t>
      </w:r>
    </w:p>
    <w:p>
      <w:pPr>
        <w:spacing w:after="80" w:before="80"/>
      </w:pPr>
      <w:r>
        <w:t xml:space="preserve"/>
      </w:r>
    </w:p>
    <w:p>
      <w:pPr>
        <w:pBdr>
          <w:top w:val="single" w:color="1B4F72" w:sz="8" w:space="8"/>
        </w:pBdr>
        <w:spacing w:after="200" w:before="400"/>
        <w:jc w:val="center"/>
      </w:pPr>
      <w:r>
        <w:rPr>
          <w:rFonts w:ascii="Arial" w:cs="Arial" w:eastAsia="Arial" w:hAnsi="Arial"/>
          <w:b/>
          <w:bCs/>
          <w:color w:val="1B4F72"/>
          <w:sz w:val="24"/>
          <w:szCs w:val="24"/>
        </w:rPr>
        <w:t xml:space="preserve">Samiramis Monterola · CSM Senior · AnyMarket LATAM</w:t>
      </w:r>
    </w:p>
    <w:p>
      <w:pPr>
        <w:spacing w:after="0" w:before="0"/>
        <w:jc w:val="center"/>
      </w:pPr>
      <w:r>
        <w:rPr>
          <w:rFonts w:ascii="Arial" w:cs="Arial" w:eastAsia="Arial" w:hAnsi="Arial"/>
          <w:i/>
          <w:iCs/>
          <w:color w:val="5D6D7E"/>
          <w:sz w:val="20"/>
          <w:szCs w:val="20"/>
        </w:rPr>
        <w:t xml:space="preserve">samiramis.monterola@db1.com.br · Julio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D6D7E"/>
        <w:sz w:val="16"/>
        <w:szCs w:val="16"/>
      </w:rPr>
      <w:t xml:space="preserve">DB1 Global Software · AnyMarket LATAM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tabs>
        <w:tab w:val="right" w:pos="9000"/>
      </w:tabs>
    </w:pPr>
    <w:r>
      <w:rPr>
        <w:rFonts w:ascii="Arial" w:cs="Arial" w:eastAsia="Arial" w:hAnsi="Arial"/>
        <w:b/>
        <w:bCs/>
        <w:color w:val="1B4F72"/>
        <w:sz w:val="20"/>
        <w:szCs w:val="20"/>
      </w:rPr>
      <w:t xml:space="preserve">INFORME SEMANAL CS — AnyMarket LATAM</w:t>
    </w:r>
    <w:r>
      <w:rPr>
        <w:rFonts w:ascii="Arial" w:cs="Arial" w:eastAsia="Arial" w:hAnsi="Arial"/>
        <w:color w:val="5D6D7E"/>
        <w:sz w:val="18"/>
        <w:szCs w:val="18"/>
      </w:rPr>
      <w:t xml:space="preserve">		Samiramis Monterola · CSM Senior · Semana 23–30 Jun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4F72"/>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2026-07-01T15:39:39.037Z</dcterms:created>
  <dcterms:modified xsi:type="dcterms:W3CDTF">2026-07-01T15:39:39.037Z</dcterms:modified>
</cp:coreProperties>
</file>

<file path=docProps/custom.xml><?xml version="1.0" encoding="utf-8"?>
<Properties xmlns="http://schemas.openxmlformats.org/officeDocument/2006/custom-properties" xmlns:vt="http://schemas.openxmlformats.org/officeDocument/2006/docPropsVTypes"/>
</file>