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B2F8B"/>
          <w:sz w:val="36"/>
          <w:szCs w:val="36"/>
        </w:rPr>
        <w:t xml:space="preserve">Playbook de Engagement — AnyMarket LATAM</w:t>
      </w:r>
    </w:p>
    <w:p>
      <w:pPr>
        <w:spacing w:after="400"/>
      </w:pPr>
      <w:r>
        <w:rPr>
          <w:i/>
          <w:iCs/>
          <w:color w:val="444444"/>
          <w:sz w:val="22"/>
          <w:szCs w:val="22"/>
        </w:rPr>
        <w:t xml:space="preserve">Cómo medir y generar engagement en la cartera de Sami Monterola · Julio 2026</w:t>
      </w:r>
    </w:p>
    <w:p>
      <w:pPr>
        <w:pStyle w:val="Heading1"/>
        <w:spacing w:after="140" w:before="280"/>
      </w:pPr>
      <w:r>
        <w:t xml:space="preserve">1. El marco: 4 tipos de engagement</w:t>
      </w:r>
    </w:p>
    <w:p>
      <w:pPr>
        <w:spacing w:after="120"/>
      </w:pPr>
      <w:r>
        <w:t xml:space="preserve">No todo producto se mide igual, y AnyMarket tampoco se mide como Instagram o Airbnb. El marco identifica 4 dimensiones independientes — pero combinables — que juntas explican qué tan enganchado está un cliente con la plataforma.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Frecuencia — qué tan seguido vuelve el cliente (diario, semanal, mensual...).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Intensidad — cuánto hace cada vez que vuelve (acciones, tiempo, gasto).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 — cuántas funcionalidades distintas usa dentro del ecosistema.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Casos de uso — cuántas razones/contextos distintos resuelve el mismo producto.</w:t>
      </w:r>
    </w:p>
    <w:p>
      <w:pPr>
        <w:spacing w:after="120"/>
      </w:pPr>
      <w:r>
        <w:t xml:space="preserve">El core user se define como quien usa el producto exactamente con la cadencia planeada. El power user sube un escalón (más frecuencia/intensidad/features/casos de uso); el casual user baja un escalón. Estos tipos no son excluyentes — se combinan, y esa combinación es la que predice retención.</w:t>
      </w:r>
    </w:p>
    <w:p>
      <w:pPr>
        <w:pStyle w:val="Heading1"/>
        <w:spacing w:after="140" w:before="280"/>
      </w:pPr>
      <w:r>
        <w:t xml:space="preserve">2. Cómo se traduce cada dimensión en AnyMarket</w:t>
      </w:r>
    </w:p>
    <w:p>
      <w:pPr>
        <w:spacing w:after="120"/>
      </w:pPr>
      <w:r>
        <w:t xml:space="preserve">AnyMarket es una plataforma de integración multicanal (catálogo, stock y pedidos entre ERP y marketplaces) — no un consumidor de contenido. Por eso cada dimensión se ancla a datos que ya existen en el dashboard de Sami, nunca a datos inventados: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/>
          <w:iCs/>
        </w:rPr>
        <w:t xml:space="preserve">Frecuencia → cadencia de contacto CS (último contacto registrado en HubSpot/Outlook). AnyMarket no expone telemetría de acceso al producto a este dashboard, así que este es un proxy, no una medición directa de logins.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Intensidad → % de Use Points consumidos (Power BI Use Points). Mide cuánto está exprimiendo el cliente el plan que paga.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 → adopción de la suite AnyTools (Predize, Koncili, WinnerBox, Marca Seleta). Dato que solo la CSM conoce por la relación — se carga manualmente en la Ficha de cada cliente.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Casos de uso → cantidad de marketplaces activos (campo "Marketplaces Activos" ya existente en la Ficha). Cada canal nuevo es una razón adicional para depender de AnyMarket.</w:t>
      </w:r>
    </w:p>
    <w:p>
      <w:pPr>
        <w:spacing w:after="120"/>
      </w:pPr>
      <w:r>
        <w:rPr>
          <w:b/>
          <w:bCs/>
        </w:rPr>
        <w:t xml:space="preserve">Regla del proyecto: si faltan 3 o 4 de estas dimensiones, el dashboard NO fuerza una clasificación — muestra "Sin datos suficientes". Nunca se inventa un dato para completar el cuadro.</w:t>
      </w:r>
    </w:p>
    <w:p>
      <w:pPr>
        <w:pStyle w:val="Heading1"/>
        <w:spacing w:after="140" w:before="280"/>
      </w:pPr>
      <w:r>
        <w:t xml:space="preserve">3. Clasificación actual de la cartera</w:t>
      </w:r>
    </w:p>
    <w:p>
      <w:pPr>
        <w:spacing w:after="120"/>
      </w:pPr>
      <w:r>
        <w:t xml:space="preserve">Con los datos reales disponibles hoy (SEED del dashboard + Power BI Use Points, junio 2026), la cartera de Sami clasifica así. Todas las confianzas son "media" porque a nadie se le ha cargado todavía Features ni Casos de Uso — subir esas dos dimensiones en la Ficha eleva la confianza a "alta" y puede cambiar la clasificación.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2B2F8B" w:val="clear"/>
          </w:tcPr>
          <w:p>
            <w:r>
              <w:rPr>
                <w:b/>
                <w:bCs/>
                <w:color w:val="FFFFFF"/>
              </w:rPr>
              <w:t xml:space="preserve">Cliente</w:t>
            </w:r>
          </w:p>
        </w:tc>
        <w:tc>
          <w:tcPr>
            <w:tcW w:type="dxa" w:w="1800"/>
            <w:shd w:fill="2B2F8B" w:val="clear"/>
          </w:tcPr>
          <w:p>
            <w:r>
              <w:rPr>
                <w:b/>
                <w:bCs/>
                <w:color w:val="FFFFFF"/>
              </w:rPr>
              <w:t xml:space="preserve">Segmento</w:t>
            </w:r>
          </w:p>
        </w:tc>
        <w:tc>
          <w:tcPr>
            <w:tcW w:type="dxa" w:w="1600"/>
            <w:shd w:fill="2B2F8B" w:val="clear"/>
          </w:tcPr>
          <w:p>
            <w:r>
              <w:rPr>
                <w:b/>
                <w:bCs/>
                <w:color w:val="FFFFFF"/>
              </w:rPr>
              <w:t xml:space="preserve">Frecuencia</w:t>
            </w:r>
          </w:p>
        </w:tc>
        <w:tc>
          <w:tcPr>
            <w:tcW w:type="dxa" w:w="1800"/>
            <w:shd w:fill="2B2F8B" w:val="clear"/>
          </w:tcPr>
          <w:p>
            <w:r>
              <w:rPr>
                <w:b/>
                <w:bCs/>
                <w:color w:val="FFFFFF"/>
              </w:rPr>
              <w:t xml:space="preserve">Intensidad (UP%)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FASHIONS PARK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45A00"/>
              </w:rPr>
              <w:t xml:space="preserve">Casual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36%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COBOE S/A - BOTIGA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36%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COBOE S/A - FARMASHOP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42%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DIVINO S.A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42%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DTODOYMAS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FORUS COLOMBIA (Centry)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FORUS SA (Centry)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GINO (Centry)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INVERSIONES MALAGA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LOI CHILE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28%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LOUNGE S/A (Centry)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MAISA (Centry)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MAUI AND SONS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42%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BEITGROUP S.A. (PILLIN)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POINTBREAK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BELCORP Colombia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45A00"/>
              </w:rPr>
              <w:t xml:space="preserve">Casual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8%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COLOMBIANA DE COMERCIO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EMMA SLEEP - CL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7A3D"/>
              </w:rPr>
              <w:t xml:space="preserve">Power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53%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LACOSTE - CL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BELCORP Chile (Promotora Belleza)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TRANSBEL (BELCORP Mexico)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WHIRLPOOL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BEITGROUP PE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RIP CURL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UPDOWN JUEGOS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PROSURF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BEL STAR - BELCORP Mexico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BEL STAR - BELCORP Peru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EMMA SLEEP - CO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39%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FORUS PERU (Centry)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KAYSER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7A3D"/>
              </w:rPr>
              <w:t xml:space="preserve">Power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56%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LACOSTE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TRAMONTINA - CL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F5FA8"/>
              </w:rPr>
              <w:t xml:space="preserve">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38%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TRAMONTINA - MX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777777"/>
              </w:rPr>
              <w:t xml:space="preserve">Sin datos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4. Cómo generar más engagement — por segmento</w:t>
      </w:r>
    </w:p>
    <w:p>
      <w:pPr>
        <w:spacing w:after="120"/>
      </w:pPr>
      <w:r>
        <w:rPr>
          <w:b/>
          <w:bCs/>
          <w:color w:val="1F7A3D"/>
        </w:rPr>
        <w:t xml:space="preserve">Power Users (EMMA SLEEP CL, KAYSER)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Usarlos como caso de éxito en QBRs de cuentas similares.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Candidatos naturales a upsell de features premium (aún no tienen ninguna feature AnyTools cargada — validar y tagear).</w:t>
      </w:r>
    </w:p>
    <w:p>
      <w:pPr>
        <w:spacing w:after="120"/>
      </w:pPr>
      <w:r>
        <w:rPr>
          <w:b/>
          <w:bCs/>
          <w:color w:val="1F5FA8"/>
        </w:rPr>
        <w:t xml:space="preserve">Core Users (la mayoría de la cartera con dato de UP)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Presentar la suite AnyTools — es la palanca más fuerte para subir a Power User.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Revisar si hay espacio para activar un marketplace adicional (sube "casos de uso").</w:t>
      </w:r>
    </w:p>
    <w:p>
      <w:pPr>
        <w:spacing w:after="120"/>
      </w:pPr>
      <w:r>
        <w:rPr>
          <w:b/>
          <w:bCs/>
          <w:color w:val="B45A00"/>
        </w:rPr>
        <w:t xml:space="preserve">Casual Users (FASHIONS PARK, BELCORP Colombia)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FASHIONS PARK: sin contacto desde 15-abr (+90 días) — cadencia crítica. Agendar check-in antes de revisar cualquier otra cosa.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BELCORP Colombia: UP% más bajo de la cartera (8%) — diagnóstico de adopción urgente, está pagando un plan que casi no usa.</w:t>
      </w:r>
    </w:p>
    <w:p>
      <w:pPr>
        <w:spacing w:after="120"/>
      </w:pPr>
      <w:r>
        <w:rPr>
          <w:b/>
          <w:bCs/>
          <w:color w:val="777777"/>
        </w:rPr>
        <w:t xml:space="preserve">Sin datos suficientes (18 clientes)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Mayoría son clientes Centry (sin Use Points por definición) o clientes sin GMV/UP en Power BI con el filtro actual.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Acción inmediata: cargar Features y Marketplaces Activos en la Ficha de cada uno — son 2 clics por cliente y desbloquean la clasificación.</w:t>
      </w:r>
    </w:p>
    <w:p>
      <w:pPr>
        <w:pStyle w:val="Heading1"/>
        <w:spacing w:after="140" w:before="280"/>
      </w:pPr>
      <w:r>
        <w:t xml:space="preserve">5. Alertas automáticas ya configuradas en el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Baja Intensidad de Uso — UP% bajo, plan pagado sin exprimir.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Cero Features de la Suite AnyTools — oportunidad de expansión confirmada.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Solo Caso de Uso — dependencia de un único marketplace.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Churn Silencioso — engagement casual sin tickets ni NPS negativo: el patrón que no aparece en Zendesk ni TrackSale.</w:t>
      </w:r>
    </w:p>
    <w:p>
      <w:pPr>
        <w:pStyle w:val="Heading1"/>
        <w:spacing w:after="140" w:before="280"/>
      </w:pPr>
      <w:r>
        <w:t xml:space="preserve">6. Próximo paso</w:t>
      </w:r>
    </w:p>
    <w:p>
      <w:pPr>
        <w:spacing w:after="120"/>
      </w:pPr>
      <w:r>
        <w:t xml:space="preserve">Cargar Features (suite AnyTools) y confirmar Marketplaces Activos para las cuentas prioritarias de esta semana — cada cliente que pase de "Sin datos" a clasificado es una cuenta más donde el Health Score y las alertas del dashboard dejan de estar incompletos.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2026-07-20T13:13:34.590Z</dcterms:created>
  <dcterms:modified xsi:type="dcterms:W3CDTF">2026-07-20T13:13:34.591Z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