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 w:line="240" w:lineRule="auto"/>
      </w:pPr>
      <w:r>
        <w:rPr>
          <w:rFonts w:ascii="Arial" w:hAnsi="Arial"/>
          <w:b/>
          <w:color w:val="000000"/>
          <w:sz w:val="36"/>
        </w:rPr>
        <w:t>Salinity Difference Explorer Survey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4E5E64"/>
          <w:sz w:val="17"/>
        </w:rPr>
        <w:t>This survey asks how well the comparison tool supports interpretation and communication of salinity differences across scenarios, locations, and time.</w:t>
      </w:r>
    </w:p>
    <w:p>
      <w:pPr>
        <w:spacing w:before="40" w:after="40" w:line="240" w:lineRule="auto"/>
      </w:pPr>
      <w:r>
        <w:rPr>
          <w:rFonts w:ascii="Arial" w:hAnsi="Arial"/>
          <w:b/>
          <w:color w:val="2D6A74"/>
          <w:sz w:val="17"/>
        </w:rPr>
        <w:t>ABOUT YOU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</w:tblPr>
      <w:tblGrid>
        <w:gridCol w:w="10584"/>
      </w:tblGrid>
      <w:tr>
        <w:tc>
          <w:tcPr>
            <w:tcW w:type="dxa" w:w="10570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7252B"/>
                <w:sz w:val="17"/>
              </w:rPr>
              <w:t>A. What best describes your primary role?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□ Researcher     □ Modeler or model developer     □ Engineer     □ Water or public agency</w:t>
              <w:br/>
              <w:t>□ NGO, environmental, or environmental justice organization     □ Private consultant</w:t>
              <w:br/>
              <w:t>□ Tribal member or representative     □ Other: ______________________________</w:t>
            </w:r>
          </w:p>
        </w:tc>
      </w:tr>
      <w:tr>
        <w:tc>
          <w:tcPr>
            <w:tcW w:type="dxa" w:w="10570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7252B"/>
                <w:sz w:val="17"/>
              </w:rPr>
              <w:t>B. How many years have you worked with Delta salinity, hydrodynamic modeling, or related topics?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□ Less than 2     □ 2–5     □ 6–10     □ 11–20     □ More than 20</w:t>
            </w:r>
          </w:p>
        </w:tc>
      </w:tr>
    </w:tbl>
    <w:p>
      <w:pPr>
        <w:spacing w:before="40" w:after="40" w:line="240" w:lineRule="auto"/>
      </w:pPr>
      <w:r>
        <w:rPr>
          <w:rFonts w:ascii="Arial" w:hAnsi="Arial"/>
          <w:b/>
          <w:color w:val="2D6A74"/>
          <w:sz w:val="17"/>
        </w:rPr>
        <w:t>YOUR EXPERIENCE WITH THE TOOL</w:t>
      </w:r>
    </w:p>
    <w:p>
      <w:pPr>
        <w:spacing w:before="20" w:after="40" w:line="240" w:lineRule="auto"/>
      </w:pPr>
      <w:r>
        <w:rPr>
          <w:rFonts w:ascii="Arial" w:hAnsi="Arial"/>
          <w:b w:val="0"/>
          <w:color w:val="4E5E64"/>
          <w:sz w:val="16"/>
        </w:rPr>
        <w:t>For each statement, mark one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2D5"/>
          <w:left w:val="single" w:sz="5" w:space="0" w:color="C7D2D5"/>
          <w:bottom w:val="single" w:sz="5" w:space="0" w:color="C7D2D5"/>
          <w:right w:val="single" w:sz="5" w:space="0" w:color="C7D2D5"/>
          <w:insideH w:val="single" w:sz="5" w:space="0" w:color="C7D2D5"/>
          <w:insideV w:val="single" w:sz="5" w:space="0" w:color="C7D2D5"/>
        </w:tblBorders>
      </w:tblPr>
      <w:tblGrid>
        <w:gridCol w:w="7128"/>
        <w:gridCol w:w="691"/>
        <w:gridCol w:w="691"/>
        <w:gridCol w:w="691"/>
        <w:gridCol w:w="691"/>
        <w:gridCol w:w="691"/>
      </w:tblGrid>
      <w:tr>
        <w:trPr>
          <w:tblHeader w:val="true"/>
        </w:trPr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1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2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3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4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5</w:t>
            </w:r>
          </w:p>
        </w:tc>
      </w:tr>
      <w:tr>
        <w:tc>
          <w:tcPr>
            <w:tcW w:type="dxa" w:w="7128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1. I understood what was being compared and could identify meaningful differences between scenarios.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  <w:tr>
        <w:tc>
          <w:tcPr>
            <w:tcW w:type="dxa" w:w="7128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2. The linked map, timeline, and station distribution helped me understand relationships among scenarios, locations, and time.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  <w:tr>
        <w:tc>
          <w:tcPr>
            <w:tcW w:type="dxa" w:w="7128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3. The tool communicated salinity differences in a way that would be useful for my work or interests.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</w:tbl>
    <w:p>
      <w:pPr>
        <w:spacing w:before="20" w:after="60" w:line="240" w:lineRule="auto"/>
      </w:pPr>
      <w:r>
        <w:rPr>
          <w:rFonts w:ascii="Arial" w:hAnsi="Arial"/>
          <w:b w:val="0"/>
          <w:color w:val="4E5E64"/>
          <w:sz w:val="15"/>
        </w:rPr>
        <w:t>1 Strongly disagree     2 Disagree     3 Neither agree nor disagree     4 Agree     5 Strongly agree</w:t>
      </w:r>
    </w:p>
    <w:p>
      <w:pPr>
        <w:spacing w:before="40" w:after="20" w:line="240" w:lineRule="auto"/>
      </w:pPr>
      <w:r>
        <w:rPr>
          <w:rFonts w:ascii="Arial" w:hAnsi="Arial"/>
          <w:b/>
          <w:color w:val="17252B"/>
          <w:sz w:val="17"/>
        </w:rPr>
        <w:t>4. What useful insight, observation, or work-related question did the tool help you explore?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Arial" w:hAnsi="Arial"/>
          <w:b/>
          <w:color w:val="17252B"/>
          <w:sz w:val="17"/>
        </w:rPr>
        <w:t>5. If you could improve one aspect of the tool, what would you change?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ectPr>
          <w:footerReference w:type="default" r:id="rId9"/>
          <w:pgSz w:w="12240" w:h="15840"/>
          <w:pgMar w:top="605" w:right="835" w:bottom="605" w:left="835" w:header="288" w:footer="288" w:gutter="0"/>
          <w:cols w:space="720"/>
          <w:docGrid w:linePitch="360"/>
        </w:sectPr>
      </w:pPr>
    </w:p>
    <w:p>
      <w:pPr>
        <w:pStyle w:val="Title"/>
        <w:spacing w:before="0" w:after="20" w:line="240" w:lineRule="auto"/>
      </w:pPr>
      <w:r>
        <w:rPr>
          <w:rFonts w:ascii="Arial" w:hAnsi="Arial"/>
          <w:b/>
          <w:color w:val="000000"/>
          <w:sz w:val="36"/>
        </w:rPr>
        <w:t>Regional Salinity Pattern Explorer Survey</w:t>
      </w:r>
    </w:p>
    <w:p>
      <w:pPr>
        <w:spacing w:before="0" w:after="100" w:line="252" w:lineRule="auto"/>
      </w:pPr>
      <w:r>
        <w:rPr>
          <w:rFonts w:ascii="Arial" w:hAnsi="Arial"/>
          <w:b w:val="0"/>
          <w:color w:val="4E5E64"/>
          <w:sz w:val="17"/>
        </w:rPr>
        <w:t>This survey asks how clearly the interface introduces scenario strategies and communicates regional and detailed salinity patterns.</w:t>
      </w:r>
    </w:p>
    <w:p>
      <w:pPr>
        <w:spacing w:before="40" w:after="40" w:line="240" w:lineRule="auto"/>
      </w:pPr>
      <w:r>
        <w:rPr>
          <w:rFonts w:ascii="Arial" w:hAnsi="Arial"/>
          <w:b/>
          <w:color w:val="2D6A74"/>
          <w:sz w:val="17"/>
        </w:rPr>
        <w:t>ABOUT YOU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</w:tblPr>
      <w:tblGrid>
        <w:gridCol w:w="10584"/>
      </w:tblGrid>
      <w:tr>
        <w:tc>
          <w:tcPr>
            <w:tcW w:type="dxa" w:w="10570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7252B"/>
                <w:sz w:val="17"/>
              </w:rPr>
              <w:t>A. What best describes your primary role?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□ Researcher     □ Modeler or model developer     □ Engineer     □ Water or public agency</w:t>
              <w:br/>
              <w:t>□ NGO, environmental, or environmental justice organization     □ Private consultant</w:t>
              <w:br/>
              <w:t>□ Tribal member or representative     □ Other: ______________________________</w:t>
            </w:r>
          </w:p>
        </w:tc>
      </w:tr>
      <w:tr>
        <w:tc>
          <w:tcPr>
            <w:tcW w:type="dxa" w:w="10570"/>
            <w:vAlign w:val="center"/>
            <w:tcMar>
              <w:top w:w="48" w:type="dxa"/>
              <w:start w:w="90" w:type="dxa"/>
              <w:bottom w:w="48" w:type="dxa"/>
              <w:end w:w="90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color w:val="17252B"/>
                <w:sz w:val="17"/>
              </w:rPr>
              <w:t>B. How many years have you worked with Delta salinity, hydrodynamic modeling, or related topics?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□ Less than 2     □ 2–5     □ 6–10     □ 11–20     □ More than 20</w:t>
            </w:r>
          </w:p>
        </w:tc>
      </w:tr>
    </w:tbl>
    <w:p>
      <w:pPr>
        <w:spacing w:before="40" w:after="40" w:line="240" w:lineRule="auto"/>
      </w:pPr>
      <w:r>
        <w:rPr>
          <w:rFonts w:ascii="Arial" w:hAnsi="Arial"/>
          <w:b/>
          <w:color w:val="2D6A74"/>
          <w:sz w:val="17"/>
        </w:rPr>
        <w:t>YOUR EXPERIENCE WITH THE INTERFACE</w:t>
      </w:r>
    </w:p>
    <w:p>
      <w:pPr>
        <w:spacing w:before="20" w:after="40" w:line="240" w:lineRule="auto"/>
      </w:pPr>
      <w:r>
        <w:rPr>
          <w:rFonts w:ascii="Arial" w:hAnsi="Arial"/>
          <w:b w:val="0"/>
          <w:color w:val="4E5E64"/>
          <w:sz w:val="16"/>
        </w:rPr>
        <w:t>For each statement, mark one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2D5"/>
          <w:left w:val="single" w:sz="5" w:space="0" w:color="C7D2D5"/>
          <w:bottom w:val="single" w:sz="5" w:space="0" w:color="C7D2D5"/>
          <w:right w:val="single" w:sz="5" w:space="0" w:color="C7D2D5"/>
          <w:insideH w:val="single" w:sz="5" w:space="0" w:color="C7D2D5"/>
          <w:insideV w:val="single" w:sz="5" w:space="0" w:color="C7D2D5"/>
        </w:tblBorders>
      </w:tblPr>
      <w:tblGrid>
        <w:gridCol w:w="7128"/>
        <w:gridCol w:w="691"/>
        <w:gridCol w:w="691"/>
        <w:gridCol w:w="691"/>
        <w:gridCol w:w="691"/>
        <w:gridCol w:w="691"/>
      </w:tblGrid>
      <w:tr>
        <w:trPr>
          <w:tblHeader w:val="true"/>
        </w:trPr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Statement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1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2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3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4</w:t>
            </w:r>
          </w:p>
        </w:tc>
        <w:tc>
          <w:tcPr>
            <w:tcW w:type="dxa" w:w="1762"/>
            <w:shd w:fill="2D6A74"/>
            <w:tcMar>
              <w:top w:w="48" w:type="dxa"/>
              <w:start w:w="55" w:type="dxa"/>
              <w:bottom w:w="48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5</w:t>
            </w:r>
          </w:p>
        </w:tc>
      </w:tr>
      <w:tr>
        <w:tc>
          <w:tcPr>
            <w:tcW w:type="dxa" w:w="7128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1. The interface helped me understand the adaptation strategy proposed in the scenario.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  <w:tr>
        <w:tc>
          <w:tcPr>
            <w:tcW w:type="dxa" w:w="7128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2. The regional pattern visuals made it easy to understand where and how salinity could change.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  <w:tr>
        <w:tc>
          <w:tcPr>
            <w:tcW w:type="dxa" w:w="7128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3. The detailed pattern view helped me understand when a change occurred and how it compared with the baseline.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  <w:tr>
        <w:tc>
          <w:tcPr>
            <w:tcW w:type="dxa" w:w="7128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17252B"/>
                <w:sz w:val="16"/>
              </w:rPr>
              <w:t>4. The regional pattern visuals were visually appealing.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  <w:tc>
          <w:tcPr>
            <w:tcW w:type="dxa" w:w="691"/>
            <w:shd w:fill="F4F7F7"/>
            <w:tcMar>
              <w:top w:w="53" w:type="dxa"/>
              <w:start w:w="55" w:type="dxa"/>
              <w:bottom w:w="53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7252B"/>
                <w:sz w:val="21"/>
              </w:rPr>
              <w:t>○</w:t>
            </w:r>
          </w:p>
        </w:tc>
      </w:tr>
    </w:tbl>
    <w:p>
      <w:pPr>
        <w:spacing w:before="20" w:after="60" w:line="240" w:lineRule="auto"/>
      </w:pPr>
      <w:r>
        <w:rPr>
          <w:rFonts w:ascii="Arial" w:hAnsi="Arial"/>
          <w:b w:val="0"/>
          <w:color w:val="4E5E64"/>
          <w:sz w:val="15"/>
        </w:rPr>
        <w:t>1 Strongly disagree     2 Disagree     3 Neither agree nor disagree     4 Agree     5 Strongly agree</w:t>
      </w:r>
    </w:p>
    <w:p>
      <w:pPr>
        <w:spacing w:before="40" w:after="20" w:line="240" w:lineRule="auto"/>
      </w:pPr>
      <w:r>
        <w:rPr>
          <w:rFonts w:ascii="Arial" w:hAnsi="Arial"/>
          <w:b/>
          <w:color w:val="17252B"/>
          <w:sz w:val="17"/>
        </w:rPr>
        <w:t>5. In your own words, what is the main adaptation strategy in the scenario you explored?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Arial" w:hAnsi="Arial"/>
          <w:b/>
          <w:color w:val="17252B"/>
          <w:sz w:val="17"/>
        </w:rPr>
        <w:t>6. What was confusing, missing, or difficult to interpret? You may comment on colors, stripes, labels, maps, timelines, or charts.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p>
      <w:pPr>
        <w:spacing w:before="0" w:after="0" w:line="204" w:lineRule="auto"/>
      </w:pPr>
      <w:r>
        <w:rPr>
          <w:rFonts w:ascii="Arial" w:hAnsi="Arial"/>
          <w:b w:val="0"/>
          <w:color w:val="8A999D"/>
          <w:sz w:val="16"/>
        </w:rPr>
        <w:t>____________________________________________________________________________________</w:t>
      </w:r>
    </w:p>
    <w:sectPr w:rsidR="00FC693F" w:rsidRPr="0006063C" w:rsidSect="00034616">
      <w:footerReference w:type="default" r:id="rId10"/>
      <w:pgSz w:w="12240" w:h="15840"/>
      <w:pgMar w:top="605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color w:val="66777C"/>
        <w:sz w:val="15"/>
      </w:rPr>
      <w:t>Survey 1 of 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color w:val="66777C"/>
        <w:sz w:val="15"/>
      </w:rPr>
      <w:t>Survey 2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