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rPr>
        <w:t>Capítulo: Evaluación, resultados y discusión</w:t>
      </w:r>
    </w:p>
    <w:p>
      <w:pPr>
        <w:spacing w:line="360" w:lineRule="auto"/>
        <w:jc w:val="both"/>
      </w:pPr>
      <w:r>
        <w:rPr>
          <w:rFonts w:ascii="Times New Roman" w:hAnsi="Times New Roman"/>
          <w:b w:val="0"/>
          <w:sz w:val="24"/>
        </w:rPr>
        <w:t>Este capítulo presenta el análisis, los resultados y la discusión del protocolo experimental. La muestra no es una encuesta sociodemográfica de usuarios, sino un banco de evaluación versionado diseñado para simular consultas técnicas sobre normativa agraria canaria. Las cifras proceden de la corrida congelada run_20260819T165515Z (N=35, 35/35 sin error de ejecución, duración total ≈ 289,6 s), persistida en docs/evaluation_runs/run_20260819T165515Z/. Misma pregunta sin contexto y con recuperador híbrido (denso + BM25 + RRF, RAG_USE_RERANKER=false, chunk 1400/120, final_k=8). RAGAS no se ejecutó. No se citan medias exploratorias de corridas previas.</w:t>
      </w:r>
    </w:p>
    <w:p>
      <w:pPr>
        <w:pStyle w:val="Heading1"/>
      </w:pPr>
      <w:r>
        <w:rPr>
          <w:rFonts w:ascii="Times New Roman" w:hAnsi="Times New Roman" w:eastAsia="Times New Roman"/>
        </w:rPr>
        <w:t>1. Unidad de análisis y variables</w:t>
      </w:r>
    </w:p>
    <w:p>
      <w:pPr>
        <w:spacing w:line="360" w:lineRule="auto"/>
        <w:jc w:val="both"/>
      </w:pPr>
      <w:r>
        <w:rPr>
          <w:rFonts w:ascii="Times New Roman" w:hAnsi="Times New Roman"/>
          <w:b w:val="0"/>
          <w:sz w:val="24"/>
        </w:rPr>
        <w:t>Cada ítem del banco incluye pregunta, respuesta de referencia, palabras clave, categoría tipológica y anclaje a un fichero fuente del corpus asesor-canarias (markdown de asesoría: POSEI, GIP, cuarentena, dossiers de cultivo, etc.). El índice asociado comprende 1289 chunks. Hay cinco ítems por cada una de las siete categorías.</w:t>
      </w:r>
    </w:p>
    <w:p>
      <w:pPr>
        <w:spacing w:line="360" w:lineRule="auto"/>
        <w:jc w:val="both"/>
      </w:pPr>
      <w:r>
        <w:rPr>
          <w:rFonts w:ascii="Times New Roman" w:hAnsi="Times New Roman"/>
          <w:b w:val="0"/>
          <w:sz w:val="24"/>
        </w:rPr>
        <w:t>Las variables consideradas son:</w:t>
      </w:r>
    </w:p>
    <w:p>
      <w:pPr>
        <w:pStyle w:val="ListBullet"/>
        <w:spacing w:line="360" w:lineRule="auto"/>
      </w:pPr>
      <w:r>
        <w:rPr>
          <w:rFonts w:ascii="Times New Roman" w:hAnsi="Times New Roman"/>
          <w:sz w:val="24"/>
        </w:rPr>
        <w:t>De recuperación: posición del primer fragmento útil (MRR) y cobertura de palabras clave. El nDCG del harness no se cita como canónico en esta corrida: produjo valores anómalos &gt;1 en 21 de 35 filas (no en 160).</w:t>
      </w:r>
    </w:p>
    <w:p>
      <w:pPr>
        <w:pStyle w:val="ListBullet"/>
        <w:spacing w:line="360" w:lineRule="auto"/>
      </w:pPr>
      <w:r>
        <w:rPr>
          <w:rFonts w:ascii="Times New Roman" w:hAnsi="Times New Roman"/>
          <w:sz w:val="24"/>
        </w:rPr>
        <w:t>De generación (LLM-as-a-Judge, escala 1–5): exactitud, exhaustividad y relevancia; además, tasa binaria de alucinación (is_hallucination).</w:t>
      </w:r>
    </w:p>
    <w:p>
      <w:pPr>
        <w:pStyle w:val="ListBullet"/>
        <w:spacing w:line="360" w:lineRule="auto"/>
      </w:pPr>
      <w:r>
        <w:rPr>
          <w:rFonts w:ascii="Times New Roman" w:hAnsi="Times New Roman"/>
          <w:sz w:val="24"/>
        </w:rPr>
        <w:t>De contraste experimental: misma pregunta y modelo (llama3.2:latest) con RAG (híbrido denso + BM25 + RRF, sin reranker) frente a sin RAG (generación autónoma).</w:t>
      </w:r>
    </w:p>
    <w:p>
      <w:pPr>
        <w:pStyle w:val="Heading1"/>
      </w:pPr>
      <w:r>
        <w:rPr>
          <w:rFonts w:ascii="Times New Roman" w:hAnsi="Times New Roman" w:eastAsia="Times New Roman"/>
        </w:rPr>
        <w:t>2. Configuración congelada</w:t>
      </w:r>
    </w:p>
    <w:p>
      <w:pPr>
        <w:spacing w:line="360" w:lineRule="auto"/>
        <w:jc w:val="both"/>
      </w:pPr>
      <w:r>
        <w:rPr>
          <w:rFonts w:ascii="Times New Roman" w:hAnsi="Times New Roman"/>
          <w:b w:val="0"/>
          <w:sz w:val="24"/>
        </w:rPr>
        <w:t>La tabla siguiente resume config.json de esa corrida. En esta ejecución la temperatura no se envió en el payload (default de Ollama). El laboratorio React posterior sí la expone y la manda (RAG_TEMPERATURE=0).</w:t>
      </w:r>
    </w:p>
    <w:p>
      <w:r>
        <w:rPr>
          <w:rFonts w:ascii="Times New Roman" w:hAnsi="Times New Roman"/>
          <w:i/>
          <w:sz w:val="22"/>
        </w:rPr>
        <w:t>Tabla 1. Configuración de run_20260819T165515Z (config.json).</w:t>
      </w:r>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2"/>
              </w:rPr>
              <w:t>Parámetro</w:t>
            </w:r>
          </w:p>
        </w:tc>
        <w:tc>
          <w:tcPr>
            <w:tcW w:type="dxa" w:w="4703"/>
          </w:tcPr>
          <w:p>
            <w:r>
              <w:rPr>
                <w:rFonts w:ascii="Times New Roman" w:hAnsi="Times New Roman"/>
                <w:b/>
                <w:sz w:val="22"/>
              </w:rPr>
              <w:t>Valor</w:t>
            </w:r>
          </w:p>
        </w:tc>
      </w:tr>
      <w:tr>
        <w:tc>
          <w:tcPr>
            <w:tcW w:type="dxa" w:w="4703"/>
          </w:tcPr>
          <w:p>
            <w:r>
              <w:rPr>
                <w:rFonts w:ascii="Times New Roman" w:hAnsi="Times New Roman"/>
                <w:sz w:val="22"/>
              </w:rPr>
              <w:t>run_id</w:t>
            </w:r>
          </w:p>
        </w:tc>
        <w:tc>
          <w:tcPr>
            <w:tcW w:type="dxa" w:w="4703"/>
          </w:tcPr>
          <w:p>
            <w:r>
              <w:rPr>
                <w:rFonts w:ascii="Times New Roman" w:hAnsi="Times New Roman"/>
                <w:sz w:val="22"/>
              </w:rPr>
              <w:t>run_20260819T165515Z</w:t>
            </w:r>
          </w:p>
        </w:tc>
      </w:tr>
      <w:tr>
        <w:tc>
          <w:tcPr>
            <w:tcW w:type="dxa" w:w="4703"/>
          </w:tcPr>
          <w:p>
            <w:r>
              <w:rPr>
                <w:rFonts w:ascii="Times New Roman" w:hAnsi="Times New Roman"/>
                <w:sz w:val="22"/>
              </w:rPr>
              <w:t>Generador</w:t>
            </w:r>
          </w:p>
        </w:tc>
        <w:tc>
          <w:tcPr>
            <w:tcW w:type="dxa" w:w="4703"/>
          </w:tcPr>
          <w:p>
            <w:r>
              <w:rPr>
                <w:rFonts w:ascii="Times New Roman" w:hAnsi="Times New Roman"/>
                <w:sz w:val="22"/>
              </w:rPr>
              <w:t>llama3.2:latest</w:t>
            </w:r>
          </w:p>
        </w:tc>
      </w:tr>
      <w:tr>
        <w:tc>
          <w:tcPr>
            <w:tcW w:type="dxa" w:w="4703"/>
          </w:tcPr>
          <w:p>
            <w:r>
              <w:rPr>
                <w:rFonts w:ascii="Times New Roman" w:hAnsi="Times New Roman"/>
                <w:sz w:val="22"/>
              </w:rPr>
              <w:t>Embedder</w:t>
            </w:r>
          </w:p>
        </w:tc>
        <w:tc>
          <w:tcPr>
            <w:tcW w:type="dxa" w:w="4703"/>
          </w:tcPr>
          <w:p>
            <w:r>
              <w:rPr>
                <w:rFonts w:ascii="Times New Roman" w:hAnsi="Times New Roman"/>
                <w:sz w:val="22"/>
              </w:rPr>
              <w:t>nomic-embed-text:latest</w:t>
            </w:r>
          </w:p>
        </w:tc>
      </w:tr>
      <w:tr>
        <w:tc>
          <w:tcPr>
            <w:tcW w:type="dxa" w:w="4703"/>
          </w:tcPr>
          <w:p>
            <w:r>
              <w:rPr>
                <w:rFonts w:ascii="Times New Roman" w:hAnsi="Times New Roman"/>
                <w:sz w:val="22"/>
              </w:rPr>
              <w:t>Chunk / solape</w:t>
            </w:r>
          </w:p>
        </w:tc>
        <w:tc>
          <w:tcPr>
            <w:tcW w:type="dxa" w:w="4703"/>
          </w:tcPr>
          <w:p>
            <w:r>
              <w:rPr>
                <w:rFonts w:ascii="Times New Roman" w:hAnsi="Times New Roman"/>
                <w:sz w:val="22"/>
              </w:rPr>
              <w:t>1400 / 120 caracteres</w:t>
            </w:r>
          </w:p>
        </w:tc>
      </w:tr>
      <w:tr>
        <w:tc>
          <w:tcPr>
            <w:tcW w:type="dxa" w:w="4703"/>
          </w:tcPr>
          <w:p>
            <w:r>
              <w:rPr>
                <w:rFonts w:ascii="Times New Roman" w:hAnsi="Times New Roman"/>
                <w:sz w:val="22"/>
              </w:rPr>
              <w:t>Retrieve</w:t>
            </w:r>
          </w:p>
        </w:tc>
        <w:tc>
          <w:tcPr>
            <w:tcW w:type="dxa" w:w="4703"/>
          </w:tcPr>
          <w:p>
            <w:r>
              <w:rPr>
                <w:rFonts w:ascii="Times New Roman" w:hAnsi="Times New Roman"/>
                <w:sz w:val="22"/>
              </w:rPr>
              <w:t>denso k=10 + BM25 k=10 + RRF (k=60), final_k=8</w:t>
            </w:r>
          </w:p>
        </w:tc>
      </w:tr>
      <w:tr>
        <w:tc>
          <w:tcPr>
            <w:tcW w:type="dxa" w:w="4703"/>
          </w:tcPr>
          <w:p>
            <w:r>
              <w:rPr>
                <w:rFonts w:ascii="Times New Roman" w:hAnsi="Times New Roman"/>
                <w:sz w:val="22"/>
              </w:rPr>
              <w:t>Reranker</w:t>
            </w:r>
          </w:p>
        </w:tc>
        <w:tc>
          <w:tcPr>
            <w:tcW w:type="dxa" w:w="4703"/>
          </w:tcPr>
          <w:p>
            <w:r>
              <w:rPr>
                <w:rFonts w:ascii="Times New Roman" w:hAnsi="Times New Roman"/>
                <w:sz w:val="22"/>
              </w:rPr>
              <w:t>false</w:t>
            </w:r>
          </w:p>
        </w:tc>
      </w:tr>
      <w:tr>
        <w:tc>
          <w:tcPr>
            <w:tcW w:type="dxa" w:w="4703"/>
          </w:tcPr>
          <w:p>
            <w:r>
              <w:rPr>
                <w:rFonts w:ascii="Times New Roman" w:hAnsi="Times New Roman"/>
                <w:sz w:val="22"/>
              </w:rPr>
              <w:t>Temperatura (esta corrida)</w:t>
            </w:r>
          </w:p>
        </w:tc>
        <w:tc>
          <w:tcPr>
            <w:tcW w:type="dxa" w:w="4703"/>
          </w:tcPr>
          <w:p>
            <w:r>
              <w:rPr>
                <w:rFonts w:ascii="Times New Roman" w:hAnsi="Times New Roman"/>
                <w:sz w:val="22"/>
              </w:rPr>
              <w:t>no enviada (default Ollama)</w:t>
            </w:r>
          </w:p>
        </w:tc>
      </w:tr>
      <w:tr>
        <w:tc>
          <w:tcPr>
            <w:tcW w:type="dxa" w:w="4703"/>
          </w:tcPr>
          <w:p>
            <w:r>
              <w:rPr>
                <w:rFonts w:ascii="Times New Roman" w:hAnsi="Times New Roman"/>
                <w:sz w:val="22"/>
              </w:rPr>
              <w:t>Corpus</w:t>
            </w:r>
          </w:p>
        </w:tc>
        <w:tc>
          <w:tcPr>
            <w:tcW w:type="dxa" w:w="4703"/>
          </w:tcPr>
          <w:p>
            <w:r>
              <w:rPr>
                <w:rFonts w:ascii="Times New Roman" w:hAnsi="Times New Roman"/>
                <w:sz w:val="22"/>
              </w:rPr>
              <w:t>knowledge-base/asesor-canarias/**/*.md (1289 chunks)</w:t>
            </w:r>
          </w:p>
        </w:tc>
      </w:tr>
      <w:tr>
        <w:tc>
          <w:tcPr>
            <w:tcW w:type="dxa" w:w="4703"/>
          </w:tcPr>
          <w:p>
            <w:r>
              <w:rPr>
                <w:rFonts w:ascii="Times New Roman" w:hAnsi="Times New Roman"/>
                <w:sz w:val="22"/>
              </w:rPr>
              <w:t>RAGAS</w:t>
            </w:r>
          </w:p>
        </w:tc>
        <w:tc>
          <w:tcPr>
            <w:tcW w:type="dxa" w:w="4703"/>
          </w:tcPr>
          <w:p>
            <w:r>
              <w:rPr>
                <w:rFonts w:ascii="Times New Roman" w:hAnsi="Times New Roman"/>
                <w:sz w:val="22"/>
              </w:rPr>
              <w:t>no ejecutado</w:t>
            </w:r>
          </w:p>
        </w:tc>
      </w:tr>
    </w:tbl>
    <w:p/>
    <w:p>
      <w:pPr>
        <w:pStyle w:val="Heading1"/>
      </w:pPr>
      <w:r>
        <w:rPr>
          <w:rFonts w:ascii="Times New Roman" w:hAnsi="Times New Roman" w:eastAsia="Times New Roman"/>
        </w:rPr>
        <w:t>3. Resultados de recuperación (IR)</w:t>
      </w:r>
    </w:p>
    <w:p>
      <w:pPr>
        <w:spacing w:line="360" w:lineRule="auto"/>
        <w:jc w:val="both"/>
      </w:pPr>
      <w:r>
        <w:rPr>
          <w:rFonts w:ascii="Times New Roman" w:hAnsi="Times New Roman"/>
          <w:b w:val="0"/>
          <w:sz w:val="24"/>
        </w:rPr>
        <w:t>Métricas propias sobre palabras clave del ítem y los fragmentos recuperados (no RAGAS).</w:t>
      </w:r>
    </w:p>
    <w:p>
      <w:pPr>
        <w:pStyle w:val="ListBullet"/>
        <w:spacing w:line="360" w:lineRule="auto"/>
      </w:pPr>
      <w:r>
        <w:rPr>
          <w:rFonts w:ascii="Times New Roman" w:hAnsi="Times New Roman"/>
          <w:sz w:val="24"/>
        </w:rPr>
        <w:t>MRR global: 0,8108</w:t>
      </w:r>
    </w:p>
    <w:p>
      <w:pPr>
        <w:pStyle w:val="ListBullet"/>
        <w:spacing w:line="360" w:lineRule="auto"/>
      </w:pPr>
      <w:r>
        <w:rPr>
          <w:rFonts w:ascii="Times New Roman" w:hAnsi="Times New Roman"/>
          <w:sz w:val="24"/>
        </w:rPr>
        <w:t>Cobertura de keywords: 0,9643</w:t>
      </w:r>
    </w:p>
    <w:p>
      <w:pPr>
        <w:spacing w:line="360" w:lineRule="auto"/>
        <w:jc w:val="both"/>
      </w:pPr>
      <w:r>
        <w:rPr>
          <w:rFonts w:ascii="Times New Roman" w:hAnsi="Times New Roman"/>
          <w:b w:val="0"/>
          <w:sz w:val="24"/>
        </w:rPr>
        <w:t>Por categoría, el MRR más alto se observa en relationship (0,933) y temporal (0,900); el más bajo, en traceability (0,667).</w:t>
      </w:r>
    </w:p>
    <w:p>
      <w:r>
        <w:rPr>
          <w:rFonts w:ascii="Times New Roman" w:hAnsi="Times New Roman"/>
          <w:i/>
          <w:sz w:val="22"/>
        </w:rPr>
        <w:t>Tabla 2. MRR del recuperador híbrido por categoría (run_20260819T165515Z).</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Categoría</w:t>
            </w:r>
          </w:p>
        </w:tc>
        <w:tc>
          <w:tcPr>
            <w:tcW w:type="dxa" w:w="3135"/>
          </w:tcPr>
          <w:p>
            <w:r>
              <w:rPr>
                <w:rFonts w:ascii="Times New Roman" w:hAnsi="Times New Roman"/>
                <w:b/>
                <w:sz w:val="22"/>
              </w:rPr>
              <w:t>N</w:t>
            </w:r>
          </w:p>
        </w:tc>
        <w:tc>
          <w:tcPr>
            <w:tcW w:type="dxa" w:w="3135"/>
          </w:tcPr>
          <w:p>
            <w:r>
              <w:rPr>
                <w:rFonts w:ascii="Times New Roman" w:hAnsi="Times New Roman"/>
                <w:b/>
                <w:sz w:val="22"/>
              </w:rPr>
              <w:t>MRR</w:t>
            </w:r>
          </w:p>
        </w:tc>
      </w:tr>
      <w:tr>
        <w:tc>
          <w:tcPr>
            <w:tcW w:type="dxa" w:w="3135"/>
          </w:tcPr>
          <w:p>
            <w:r>
              <w:rPr>
                <w:rFonts w:ascii="Times New Roman" w:hAnsi="Times New Roman"/>
                <w:sz w:val="22"/>
              </w:rPr>
              <w:t>relationship</w:t>
            </w:r>
          </w:p>
        </w:tc>
        <w:tc>
          <w:tcPr>
            <w:tcW w:type="dxa" w:w="3135"/>
          </w:tcPr>
          <w:p>
            <w:r>
              <w:rPr>
                <w:rFonts w:ascii="Times New Roman" w:hAnsi="Times New Roman"/>
                <w:sz w:val="22"/>
              </w:rPr>
              <w:t>5</w:t>
            </w:r>
          </w:p>
        </w:tc>
        <w:tc>
          <w:tcPr>
            <w:tcW w:type="dxa" w:w="3135"/>
          </w:tcPr>
          <w:p>
            <w:r>
              <w:rPr>
                <w:rFonts w:ascii="Times New Roman" w:hAnsi="Times New Roman"/>
                <w:sz w:val="22"/>
              </w:rPr>
              <w:t>0,933</w:t>
            </w:r>
          </w:p>
        </w:tc>
      </w:tr>
      <w:tr>
        <w:tc>
          <w:tcPr>
            <w:tcW w:type="dxa" w:w="3135"/>
          </w:tcPr>
          <w:p>
            <w:r>
              <w:rPr>
                <w:rFonts w:ascii="Times New Roman" w:hAnsi="Times New Roman"/>
                <w:sz w:val="22"/>
              </w:rPr>
              <w:t>temporal</w:t>
            </w:r>
          </w:p>
        </w:tc>
        <w:tc>
          <w:tcPr>
            <w:tcW w:type="dxa" w:w="3135"/>
          </w:tcPr>
          <w:p>
            <w:r>
              <w:rPr>
                <w:rFonts w:ascii="Times New Roman" w:hAnsi="Times New Roman"/>
                <w:sz w:val="22"/>
              </w:rPr>
              <w:t>5</w:t>
            </w:r>
          </w:p>
        </w:tc>
        <w:tc>
          <w:tcPr>
            <w:tcW w:type="dxa" w:w="3135"/>
          </w:tcPr>
          <w:p>
            <w:r>
              <w:rPr>
                <w:rFonts w:ascii="Times New Roman" w:hAnsi="Times New Roman"/>
                <w:sz w:val="22"/>
              </w:rPr>
              <w:t>0,900</w:t>
            </w:r>
          </w:p>
        </w:tc>
      </w:tr>
      <w:tr>
        <w:tc>
          <w:tcPr>
            <w:tcW w:type="dxa" w:w="3135"/>
          </w:tcPr>
          <w:p>
            <w:r>
              <w:rPr>
                <w:rFonts w:ascii="Times New Roman" w:hAnsi="Times New Roman"/>
                <w:sz w:val="22"/>
              </w:rPr>
              <w:t>spanning</w:t>
            </w:r>
          </w:p>
        </w:tc>
        <w:tc>
          <w:tcPr>
            <w:tcW w:type="dxa" w:w="3135"/>
          </w:tcPr>
          <w:p>
            <w:r>
              <w:rPr>
                <w:rFonts w:ascii="Times New Roman" w:hAnsi="Times New Roman"/>
                <w:sz w:val="22"/>
              </w:rPr>
              <w:t>5</w:t>
            </w:r>
          </w:p>
        </w:tc>
        <w:tc>
          <w:tcPr>
            <w:tcW w:type="dxa" w:w="3135"/>
          </w:tcPr>
          <w:p>
            <w:r>
              <w:rPr>
                <w:rFonts w:ascii="Times New Roman" w:hAnsi="Times New Roman"/>
                <w:sz w:val="22"/>
              </w:rPr>
              <w:t>0,867</w:t>
            </w:r>
          </w:p>
        </w:tc>
      </w:tr>
      <w:tr>
        <w:tc>
          <w:tcPr>
            <w:tcW w:type="dxa" w:w="3135"/>
          </w:tcPr>
          <w:p>
            <w:r>
              <w:rPr>
                <w:rFonts w:ascii="Times New Roman" w:hAnsi="Times New Roman"/>
                <w:sz w:val="22"/>
              </w:rPr>
              <w:t>regulatory_fact</w:t>
            </w:r>
          </w:p>
        </w:tc>
        <w:tc>
          <w:tcPr>
            <w:tcW w:type="dxa" w:w="3135"/>
          </w:tcPr>
          <w:p>
            <w:r>
              <w:rPr>
                <w:rFonts w:ascii="Times New Roman" w:hAnsi="Times New Roman"/>
                <w:sz w:val="22"/>
              </w:rPr>
              <w:t>5</w:t>
            </w:r>
          </w:p>
        </w:tc>
        <w:tc>
          <w:tcPr>
            <w:tcW w:type="dxa" w:w="3135"/>
          </w:tcPr>
          <w:p>
            <w:r>
              <w:rPr>
                <w:rFonts w:ascii="Times New Roman" w:hAnsi="Times New Roman"/>
                <w:sz w:val="22"/>
              </w:rPr>
              <w:t>0,833</w:t>
            </w:r>
          </w:p>
        </w:tc>
      </w:tr>
      <w:tr>
        <w:tc>
          <w:tcPr>
            <w:tcW w:type="dxa" w:w="3135"/>
          </w:tcPr>
          <w:p>
            <w:r>
              <w:rPr>
                <w:rFonts w:ascii="Times New Roman" w:hAnsi="Times New Roman"/>
                <w:sz w:val="22"/>
              </w:rPr>
              <w:t>regulatory_compliance</w:t>
            </w:r>
          </w:p>
        </w:tc>
        <w:tc>
          <w:tcPr>
            <w:tcW w:type="dxa" w:w="3135"/>
          </w:tcPr>
          <w:p>
            <w:r>
              <w:rPr>
                <w:rFonts w:ascii="Times New Roman" w:hAnsi="Times New Roman"/>
                <w:sz w:val="22"/>
              </w:rPr>
              <w:t>5</w:t>
            </w:r>
          </w:p>
        </w:tc>
        <w:tc>
          <w:tcPr>
            <w:tcW w:type="dxa" w:w="3135"/>
          </w:tcPr>
          <w:p>
            <w:r>
              <w:rPr>
                <w:rFonts w:ascii="Times New Roman" w:hAnsi="Times New Roman"/>
                <w:sz w:val="22"/>
              </w:rPr>
              <w:t>0,747</w:t>
            </w:r>
          </w:p>
        </w:tc>
      </w:tr>
      <w:tr>
        <w:tc>
          <w:tcPr>
            <w:tcW w:type="dxa" w:w="3135"/>
          </w:tcPr>
          <w:p>
            <w:r>
              <w:rPr>
                <w:rFonts w:ascii="Times New Roman" w:hAnsi="Times New Roman"/>
                <w:sz w:val="22"/>
              </w:rPr>
              <w:t>direct_fact</w:t>
            </w:r>
          </w:p>
        </w:tc>
        <w:tc>
          <w:tcPr>
            <w:tcW w:type="dxa" w:w="3135"/>
          </w:tcPr>
          <w:p>
            <w:r>
              <w:rPr>
                <w:rFonts w:ascii="Times New Roman" w:hAnsi="Times New Roman"/>
                <w:sz w:val="22"/>
              </w:rPr>
              <w:t>5</w:t>
            </w:r>
          </w:p>
        </w:tc>
        <w:tc>
          <w:tcPr>
            <w:tcW w:type="dxa" w:w="3135"/>
          </w:tcPr>
          <w:p>
            <w:r>
              <w:rPr>
                <w:rFonts w:ascii="Times New Roman" w:hAnsi="Times New Roman"/>
                <w:sz w:val="22"/>
              </w:rPr>
              <w:t>0,729</w:t>
            </w:r>
          </w:p>
        </w:tc>
      </w:tr>
      <w:tr>
        <w:tc>
          <w:tcPr>
            <w:tcW w:type="dxa" w:w="3135"/>
          </w:tcPr>
          <w:p>
            <w:r>
              <w:rPr>
                <w:rFonts w:ascii="Times New Roman" w:hAnsi="Times New Roman"/>
                <w:sz w:val="22"/>
              </w:rPr>
              <w:t>traceability</w:t>
            </w:r>
          </w:p>
        </w:tc>
        <w:tc>
          <w:tcPr>
            <w:tcW w:type="dxa" w:w="3135"/>
          </w:tcPr>
          <w:p>
            <w:r>
              <w:rPr>
                <w:rFonts w:ascii="Times New Roman" w:hAnsi="Times New Roman"/>
                <w:sz w:val="22"/>
              </w:rPr>
              <w:t>5</w:t>
            </w:r>
          </w:p>
        </w:tc>
        <w:tc>
          <w:tcPr>
            <w:tcW w:type="dxa" w:w="3135"/>
          </w:tcPr>
          <w:p>
            <w:r>
              <w:rPr>
                <w:rFonts w:ascii="Times New Roman" w:hAnsi="Times New Roman"/>
                <w:sz w:val="22"/>
              </w:rPr>
              <w:t>0,667</w:t>
            </w:r>
          </w:p>
        </w:tc>
      </w:tr>
      <w:tr>
        <w:tc>
          <w:tcPr>
            <w:tcW w:type="dxa" w:w="3135"/>
          </w:tcPr>
          <w:p>
            <w:r>
              <w:rPr>
                <w:rFonts w:ascii="Times New Roman" w:hAnsi="Times New Roman"/>
                <w:sz w:val="22"/>
              </w:rPr>
              <w:t>Global</w:t>
            </w:r>
          </w:p>
        </w:tc>
        <w:tc>
          <w:tcPr>
            <w:tcW w:type="dxa" w:w="3135"/>
          </w:tcPr>
          <w:p>
            <w:r>
              <w:rPr>
                <w:rFonts w:ascii="Times New Roman" w:hAnsi="Times New Roman"/>
                <w:sz w:val="22"/>
              </w:rPr>
              <w:t>35</w:t>
            </w:r>
          </w:p>
        </w:tc>
        <w:tc>
          <w:tcPr>
            <w:tcW w:type="dxa" w:w="3135"/>
          </w:tcPr>
          <w:p>
            <w:r>
              <w:rPr>
                <w:rFonts w:ascii="Times New Roman" w:hAnsi="Times New Roman"/>
                <w:sz w:val="22"/>
              </w:rPr>
              <w:t>0,811</w:t>
            </w:r>
          </w:p>
        </w:tc>
      </w:tr>
    </w:tbl>
    <w:p/>
    <w:p>
      <w:pPr>
        <w:jc w:val="center"/>
      </w:pPr>
      <w:r>
        <w:drawing>
          <wp:inline xmlns:a="http://schemas.openxmlformats.org/drawingml/2006/main" xmlns:pic="http://schemas.openxmlformats.org/drawingml/2006/picture">
            <wp:extent cx="5303520" cy="3474905"/>
            <wp:docPr id="1" name="Picture 1"/>
            <wp:cNvGraphicFramePr>
              <a:graphicFrameLocks noChangeAspect="1"/>
            </wp:cNvGraphicFramePr>
            <a:graphic>
              <a:graphicData uri="http://schemas.openxmlformats.org/drawingml/2006/picture">
                <pic:pic>
                  <pic:nvPicPr>
                    <pic:cNvPr id="0" name="metricas-mrr-categorias.png"/>
                    <pic:cNvPicPr/>
                  </pic:nvPicPr>
                  <pic:blipFill>
                    <a:blip r:embed="rId9"/>
                    <a:stretch>
                      <a:fillRect/>
                    </a:stretch>
                  </pic:blipFill>
                  <pic:spPr>
                    <a:xfrm>
                      <a:off x="0" y="0"/>
                      <a:ext cx="5303520" cy="3474905"/>
                    </a:xfrm>
                    <a:prstGeom prst="rect"/>
                  </pic:spPr>
                </pic:pic>
              </a:graphicData>
            </a:graphic>
          </wp:inline>
        </w:drawing>
      </w:r>
    </w:p>
    <w:p>
      <w:pPr>
        <w:jc w:val="center"/>
      </w:pPr>
      <w:r>
        <w:rPr>
          <w:rFonts w:ascii="Times New Roman" w:hAnsi="Times New Roman"/>
          <w:i/>
          <w:sz w:val="22"/>
        </w:rPr>
        <w:t>Figura 1. Esquema de MRR por categoría. Valores numéricos: Tabla 2.</w:t>
      </w:r>
    </w:p>
    <w:p>
      <w:pPr>
        <w:pStyle w:val="Heading1"/>
      </w:pPr>
      <w:r>
        <w:rPr>
          <w:rFonts w:ascii="Times New Roman" w:hAnsi="Times New Roman" w:eastAsia="Times New Roman"/>
        </w:rPr>
        <w:t>4. Calidad de generación con RAG (LLM-as-a-Judge)</w:t>
      </w:r>
    </w:p>
    <w:p>
      <w:pPr>
        <w:spacing w:line="360" w:lineRule="auto"/>
        <w:jc w:val="both"/>
      </w:pPr>
      <w:r>
        <w:rPr>
          <w:rFonts w:ascii="Times New Roman" w:hAnsi="Times New Roman"/>
          <w:b w:val="0"/>
          <w:sz w:val="24"/>
        </w:rPr>
        <w:t>El juez (1–5) es el mismo modelo generador. Medias con RAG:</w:t>
      </w:r>
    </w:p>
    <w:p>
      <w:pPr>
        <w:pStyle w:val="ListBullet"/>
        <w:spacing w:line="360" w:lineRule="auto"/>
      </w:pPr>
      <w:r>
        <w:rPr>
          <w:rFonts w:ascii="Times New Roman" w:hAnsi="Times New Roman"/>
          <w:sz w:val="24"/>
        </w:rPr>
        <w:t>Exactitud: 4,46</w:t>
      </w:r>
    </w:p>
    <w:p>
      <w:pPr>
        <w:pStyle w:val="ListBullet"/>
        <w:spacing w:line="360" w:lineRule="auto"/>
      </w:pPr>
      <w:r>
        <w:rPr>
          <w:rFonts w:ascii="Times New Roman" w:hAnsi="Times New Roman"/>
          <w:sz w:val="24"/>
        </w:rPr>
        <w:t>Exhaustividad: 4,06</w:t>
      </w:r>
    </w:p>
    <w:p>
      <w:pPr>
        <w:pStyle w:val="ListBullet"/>
        <w:spacing w:line="360" w:lineRule="auto"/>
      </w:pPr>
      <w:r>
        <w:rPr>
          <w:rFonts w:ascii="Times New Roman" w:hAnsi="Times New Roman"/>
          <w:sz w:val="24"/>
        </w:rPr>
        <w:t>Relevancia: 4,00</w:t>
      </w:r>
    </w:p>
    <w:p>
      <w:pPr>
        <w:spacing w:line="360" w:lineRule="auto"/>
        <w:jc w:val="both"/>
      </w:pPr>
      <w:r>
        <w:rPr>
          <w:rFonts w:ascii="Times New Roman" w:hAnsi="Times New Roman"/>
          <w:b w:val="0"/>
          <w:sz w:val="24"/>
        </w:rPr>
        <w:t>Estas notas no se mezclan con las métricas de IR ni con RAGAS.</w:t>
      </w:r>
    </w:p>
    <w:p>
      <w:pPr>
        <w:pStyle w:val="Heading1"/>
      </w:pPr>
      <w:r>
        <w:rPr>
          <w:rFonts w:ascii="Times New Roman" w:hAnsi="Times New Roman" w:eastAsia="Times New Roman"/>
        </w:rPr>
        <w:t>5. Comparación sin RAG frente a con RAG</w:t>
      </w:r>
    </w:p>
    <w:p>
      <w:pPr>
        <w:spacing w:line="360" w:lineRule="auto"/>
        <w:jc w:val="both"/>
      </w:pPr>
      <w:r>
        <w:rPr>
          <w:rFonts w:ascii="Times New Roman" w:hAnsi="Times New Roman"/>
          <w:b w:val="0"/>
          <w:sz w:val="24"/>
        </w:rPr>
        <w:t>Misma pregunta, mismo modelo (llama3.2:latest) y mismo juez. Sin RAG no hay fidelidad a un contexto recuperado.</w:t>
      </w:r>
    </w:p>
    <w:p>
      <w:r>
        <w:rPr>
          <w:rFonts w:ascii="Times New Roman" w:hAnsi="Times New Roman"/>
          <w:i/>
          <w:sz w:val="22"/>
        </w:rPr>
        <w:t>Tabla 3. LLM autónomo frente a RAG híbrido (N=35, run_20260819T165515Z).</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Métrica</w:t>
            </w:r>
          </w:p>
        </w:tc>
        <w:tc>
          <w:tcPr>
            <w:tcW w:type="dxa" w:w="2351"/>
          </w:tcPr>
          <w:p>
            <w:r>
              <w:rPr>
                <w:rFonts w:ascii="Times New Roman" w:hAnsi="Times New Roman"/>
                <w:b/>
                <w:sz w:val="22"/>
              </w:rPr>
              <w:t>Sin RAG</w:t>
            </w:r>
          </w:p>
        </w:tc>
        <w:tc>
          <w:tcPr>
            <w:tcW w:type="dxa" w:w="2351"/>
          </w:tcPr>
          <w:p>
            <w:r>
              <w:rPr>
                <w:rFonts w:ascii="Times New Roman" w:hAnsi="Times New Roman"/>
                <w:b/>
                <w:sz w:val="22"/>
              </w:rPr>
              <w:t>Con RAG</w:t>
            </w:r>
          </w:p>
        </w:tc>
        <w:tc>
          <w:tcPr>
            <w:tcW w:type="dxa" w:w="2351"/>
          </w:tcPr>
          <w:p>
            <w:r>
              <w:rPr>
                <w:rFonts w:ascii="Times New Roman" w:hAnsi="Times New Roman"/>
                <w:b/>
                <w:sz w:val="22"/>
              </w:rPr>
              <w:t>Dif.</w:t>
            </w:r>
          </w:p>
        </w:tc>
      </w:tr>
      <w:tr>
        <w:tc>
          <w:tcPr>
            <w:tcW w:type="dxa" w:w="2351"/>
          </w:tcPr>
          <w:p>
            <w:r>
              <w:rPr>
                <w:rFonts w:ascii="Times New Roman" w:hAnsi="Times New Roman"/>
                <w:sz w:val="22"/>
              </w:rPr>
              <w:t>Exactitud (1–5)</w:t>
            </w:r>
          </w:p>
        </w:tc>
        <w:tc>
          <w:tcPr>
            <w:tcW w:type="dxa" w:w="2351"/>
          </w:tcPr>
          <w:p>
            <w:r>
              <w:rPr>
                <w:rFonts w:ascii="Times New Roman" w:hAnsi="Times New Roman"/>
                <w:sz w:val="22"/>
              </w:rPr>
              <w:t>3,31</w:t>
            </w:r>
          </w:p>
        </w:tc>
        <w:tc>
          <w:tcPr>
            <w:tcW w:type="dxa" w:w="2351"/>
          </w:tcPr>
          <w:p>
            <w:r>
              <w:rPr>
                <w:rFonts w:ascii="Times New Roman" w:hAnsi="Times New Roman"/>
                <w:sz w:val="22"/>
              </w:rPr>
              <w:t>4,46</w:t>
            </w:r>
          </w:p>
        </w:tc>
        <w:tc>
          <w:tcPr>
            <w:tcW w:type="dxa" w:w="2351"/>
          </w:tcPr>
          <w:p>
            <w:r>
              <w:rPr>
                <w:rFonts w:ascii="Times New Roman" w:hAnsi="Times New Roman"/>
                <w:sz w:val="22"/>
              </w:rPr>
              <w:t>+1,14</w:t>
            </w:r>
          </w:p>
        </w:tc>
      </w:tr>
      <w:tr>
        <w:tc>
          <w:tcPr>
            <w:tcW w:type="dxa" w:w="2351"/>
          </w:tcPr>
          <w:p>
            <w:r>
              <w:rPr>
                <w:rFonts w:ascii="Times New Roman" w:hAnsi="Times New Roman"/>
                <w:sz w:val="22"/>
              </w:rPr>
              <w:t>Exhaustividad (1–5)</w:t>
            </w:r>
          </w:p>
        </w:tc>
        <w:tc>
          <w:tcPr>
            <w:tcW w:type="dxa" w:w="2351"/>
          </w:tcPr>
          <w:p>
            <w:r>
              <w:rPr>
                <w:rFonts w:ascii="Times New Roman" w:hAnsi="Times New Roman"/>
                <w:sz w:val="22"/>
              </w:rPr>
              <w:t>2,46</w:t>
            </w:r>
          </w:p>
        </w:tc>
        <w:tc>
          <w:tcPr>
            <w:tcW w:type="dxa" w:w="2351"/>
          </w:tcPr>
          <w:p>
            <w:r>
              <w:rPr>
                <w:rFonts w:ascii="Times New Roman" w:hAnsi="Times New Roman"/>
                <w:sz w:val="22"/>
              </w:rPr>
              <w:t>4,06</w:t>
            </w:r>
          </w:p>
        </w:tc>
        <w:tc>
          <w:tcPr>
            <w:tcW w:type="dxa" w:w="2351"/>
          </w:tcPr>
          <w:p>
            <w:r>
              <w:rPr>
                <w:rFonts w:ascii="Times New Roman" w:hAnsi="Times New Roman"/>
                <w:sz w:val="22"/>
              </w:rPr>
              <w:t>+1,60</w:t>
            </w:r>
          </w:p>
        </w:tc>
      </w:tr>
      <w:tr>
        <w:tc>
          <w:tcPr>
            <w:tcW w:type="dxa" w:w="2351"/>
          </w:tcPr>
          <w:p>
            <w:r>
              <w:rPr>
                <w:rFonts w:ascii="Times New Roman" w:hAnsi="Times New Roman"/>
                <w:sz w:val="22"/>
              </w:rPr>
              <w:t>Relevancia (1–5)</w:t>
            </w:r>
          </w:p>
        </w:tc>
        <w:tc>
          <w:tcPr>
            <w:tcW w:type="dxa" w:w="2351"/>
          </w:tcPr>
          <w:p>
            <w:r>
              <w:rPr>
                <w:rFonts w:ascii="Times New Roman" w:hAnsi="Times New Roman"/>
                <w:sz w:val="22"/>
              </w:rPr>
              <w:t>3,06</w:t>
            </w:r>
          </w:p>
        </w:tc>
        <w:tc>
          <w:tcPr>
            <w:tcW w:type="dxa" w:w="2351"/>
          </w:tcPr>
          <w:p>
            <w:r>
              <w:rPr>
                <w:rFonts w:ascii="Times New Roman" w:hAnsi="Times New Roman"/>
                <w:sz w:val="22"/>
              </w:rPr>
              <w:t>4,00</w:t>
            </w:r>
          </w:p>
        </w:tc>
        <w:tc>
          <w:tcPr>
            <w:tcW w:type="dxa" w:w="2351"/>
          </w:tcPr>
          <w:p>
            <w:r>
              <w:rPr>
                <w:rFonts w:ascii="Times New Roman" w:hAnsi="Times New Roman"/>
                <w:sz w:val="22"/>
              </w:rPr>
              <w:t>+0,94</w:t>
            </w:r>
          </w:p>
        </w:tc>
      </w:tr>
      <w:tr>
        <w:tc>
          <w:tcPr>
            <w:tcW w:type="dxa" w:w="2351"/>
          </w:tcPr>
          <w:p>
            <w:r>
              <w:rPr>
                <w:rFonts w:ascii="Times New Roman" w:hAnsi="Times New Roman"/>
                <w:sz w:val="22"/>
              </w:rPr>
              <w:t>Tasa is_hallucination (juez)</w:t>
            </w:r>
          </w:p>
        </w:tc>
        <w:tc>
          <w:tcPr>
            <w:tcW w:type="dxa" w:w="2351"/>
          </w:tcPr>
          <w:p>
            <w:r>
              <w:rPr>
                <w:rFonts w:ascii="Times New Roman" w:hAnsi="Times New Roman"/>
                <w:sz w:val="22"/>
              </w:rPr>
              <w:t>0,314</w:t>
            </w:r>
          </w:p>
        </w:tc>
        <w:tc>
          <w:tcPr>
            <w:tcW w:type="dxa" w:w="2351"/>
          </w:tcPr>
          <w:p>
            <w:r>
              <w:rPr>
                <w:rFonts w:ascii="Times New Roman" w:hAnsi="Times New Roman"/>
                <w:sz w:val="22"/>
              </w:rPr>
              <w:t>0,086</w:t>
            </w:r>
          </w:p>
        </w:tc>
        <w:tc>
          <w:tcPr>
            <w:tcW w:type="dxa" w:w="2351"/>
          </w:tcPr>
          <w:p>
            <w:r>
              <w:rPr>
                <w:rFonts w:ascii="Times New Roman" w:hAnsi="Times New Roman"/>
                <w:sz w:val="22"/>
              </w:rPr>
              <w:t>−0,229</w:t>
            </w:r>
          </w:p>
        </w:tc>
      </w:tr>
    </w:tbl>
    <w:p/>
    <w:p>
      <w:pPr>
        <w:jc w:val="center"/>
      </w:pPr>
      <w:r>
        <w:drawing>
          <wp:inline xmlns:a="http://schemas.openxmlformats.org/drawingml/2006/main" xmlns:pic="http://schemas.openxmlformats.org/drawingml/2006/picture">
            <wp:extent cx="5303520" cy="3301342"/>
            <wp:docPr id="2" name="Picture 2"/>
            <wp:cNvGraphicFramePr>
              <a:graphicFrameLocks noChangeAspect="1"/>
            </wp:cNvGraphicFramePr>
            <a:graphic>
              <a:graphicData uri="http://schemas.openxmlformats.org/drawingml/2006/picture">
                <pic:pic>
                  <pic:nvPicPr>
                    <pic:cNvPr id="0" name="metricas-rag-vs-norag.png"/>
                    <pic:cNvPicPr/>
                  </pic:nvPicPr>
                  <pic:blipFill>
                    <a:blip r:embed="rId10"/>
                    <a:stretch>
                      <a:fillRect/>
                    </a:stretch>
                  </pic:blipFill>
                  <pic:spPr>
                    <a:xfrm>
                      <a:off x="0" y="0"/>
                      <a:ext cx="5303520" cy="3301342"/>
                    </a:xfrm>
                    <a:prstGeom prst="rect"/>
                  </pic:spPr>
                </pic:pic>
              </a:graphicData>
            </a:graphic>
          </wp:inline>
        </w:drawing>
      </w:r>
    </w:p>
    <w:p>
      <w:pPr>
        <w:jc w:val="center"/>
      </w:pPr>
      <w:r>
        <w:rPr>
          <w:rFonts w:ascii="Times New Roman" w:hAnsi="Times New Roman"/>
          <w:i/>
          <w:sz w:val="22"/>
        </w:rPr>
        <w:t>Figura 2. Esquema visual de la comparación. Valores numéricos: Tabla 3.</w:t>
      </w:r>
    </w:p>
    <w:p>
      <w:pPr>
        <w:spacing w:line="360" w:lineRule="auto"/>
        <w:jc w:val="both"/>
      </w:pPr>
      <w:r>
        <w:rPr>
          <w:rFonts w:ascii="Times New Roman" w:hAnsi="Times New Roman"/>
          <w:b w:val="0"/>
          <w:sz w:val="24"/>
        </w:rPr>
        <w:t>El RAG mejora las tres dimensiones del juez y reduce la tasa binaria de alucinación aproximadamente a una cuarta parte (0,314 → 0,086), sin eliminarla. Por tipología, spanning y regulatory_compliance alcanzan exactitud 5,00 y alucinación 0,00 en el agregado de cinco ítems; direct_fact, temporal y traceability concentran la residual (0,20).</w:t>
      </w:r>
    </w:p>
    <w:p>
      <w:r>
        <w:rPr>
          <w:rFonts w:ascii="Times New Roman" w:hAnsi="Times New Roman"/>
          <w:i/>
          <w:sz w:val="22"/>
        </w:rPr>
        <w:t>Tabla 4. MRR, exactitud del juez y alucinación por categoría (misma corrida).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2"/>
              </w:rPr>
              <w:t>Categoría</w:t>
            </w:r>
          </w:p>
        </w:tc>
        <w:tc>
          <w:tcPr>
            <w:tcW w:type="dxa" w:w="1881"/>
          </w:tcPr>
          <w:p>
            <w:r>
              <w:rPr>
                <w:rFonts w:ascii="Times New Roman" w:hAnsi="Times New Roman"/>
                <w:b/>
                <w:sz w:val="22"/>
              </w:rPr>
              <w:t>N</w:t>
            </w:r>
          </w:p>
        </w:tc>
        <w:tc>
          <w:tcPr>
            <w:tcW w:type="dxa" w:w="1881"/>
          </w:tcPr>
          <w:p>
            <w:r>
              <w:rPr>
                <w:rFonts w:ascii="Times New Roman" w:hAnsi="Times New Roman"/>
                <w:b/>
                <w:sz w:val="22"/>
              </w:rPr>
              <w:t>MRR</w:t>
            </w:r>
          </w:p>
        </w:tc>
        <w:tc>
          <w:tcPr>
            <w:tcW w:type="dxa" w:w="1881"/>
          </w:tcPr>
          <w:p>
            <w:r>
              <w:rPr>
                <w:rFonts w:ascii="Times New Roman" w:hAnsi="Times New Roman"/>
                <w:b/>
                <w:sz w:val="22"/>
              </w:rPr>
              <w:t>Acc. juez</w:t>
            </w:r>
          </w:p>
        </w:tc>
        <w:tc>
          <w:tcPr>
            <w:tcW w:type="dxa" w:w="1881"/>
          </w:tcPr>
          <w:p>
            <w:r>
              <w:rPr>
                <w:rFonts w:ascii="Times New Roman" w:hAnsi="Times New Roman"/>
                <w:b/>
                <w:sz w:val="22"/>
              </w:rPr>
              <w:t>Halluc.</w:t>
            </w:r>
          </w:p>
        </w:tc>
      </w:tr>
      <w:tr>
        <w:tc>
          <w:tcPr>
            <w:tcW w:type="dxa" w:w="1881"/>
          </w:tcPr>
          <w:p>
            <w:r>
              <w:rPr>
                <w:rFonts w:ascii="Times New Roman" w:hAnsi="Times New Roman"/>
                <w:sz w:val="22"/>
              </w:rPr>
              <w:t>direct_fact</w:t>
            </w:r>
          </w:p>
        </w:tc>
        <w:tc>
          <w:tcPr>
            <w:tcW w:type="dxa" w:w="1881"/>
          </w:tcPr>
          <w:p>
            <w:r>
              <w:rPr>
                <w:rFonts w:ascii="Times New Roman" w:hAnsi="Times New Roman"/>
                <w:sz w:val="22"/>
              </w:rPr>
              <w:t>5</w:t>
            </w:r>
          </w:p>
        </w:tc>
        <w:tc>
          <w:tcPr>
            <w:tcW w:type="dxa" w:w="1881"/>
          </w:tcPr>
          <w:p>
            <w:r>
              <w:rPr>
                <w:rFonts w:ascii="Times New Roman" w:hAnsi="Times New Roman"/>
                <w:sz w:val="22"/>
              </w:rPr>
              <w:t>0,729</w:t>
            </w:r>
          </w:p>
        </w:tc>
        <w:tc>
          <w:tcPr>
            <w:tcW w:type="dxa" w:w="1881"/>
          </w:tcPr>
          <w:p>
            <w:r>
              <w:rPr>
                <w:rFonts w:ascii="Times New Roman" w:hAnsi="Times New Roman"/>
                <w:sz w:val="22"/>
              </w:rPr>
              <w:t>4,40</w:t>
            </w:r>
          </w:p>
        </w:tc>
        <w:tc>
          <w:tcPr>
            <w:tcW w:type="dxa" w:w="1881"/>
          </w:tcPr>
          <w:p>
            <w:r>
              <w:rPr>
                <w:rFonts w:ascii="Times New Roman" w:hAnsi="Times New Roman"/>
                <w:sz w:val="22"/>
              </w:rPr>
              <w:t>0,20</w:t>
            </w:r>
          </w:p>
        </w:tc>
      </w:tr>
      <w:tr>
        <w:tc>
          <w:tcPr>
            <w:tcW w:type="dxa" w:w="1881"/>
          </w:tcPr>
          <w:p>
            <w:r>
              <w:rPr>
                <w:rFonts w:ascii="Times New Roman" w:hAnsi="Times New Roman"/>
                <w:sz w:val="22"/>
              </w:rPr>
              <w:t>temporal</w:t>
            </w:r>
          </w:p>
        </w:tc>
        <w:tc>
          <w:tcPr>
            <w:tcW w:type="dxa" w:w="1881"/>
          </w:tcPr>
          <w:p>
            <w:r>
              <w:rPr>
                <w:rFonts w:ascii="Times New Roman" w:hAnsi="Times New Roman"/>
                <w:sz w:val="22"/>
              </w:rPr>
              <w:t>5</w:t>
            </w:r>
          </w:p>
        </w:tc>
        <w:tc>
          <w:tcPr>
            <w:tcW w:type="dxa" w:w="1881"/>
          </w:tcPr>
          <w:p>
            <w:r>
              <w:rPr>
                <w:rFonts w:ascii="Times New Roman" w:hAnsi="Times New Roman"/>
                <w:sz w:val="22"/>
              </w:rPr>
              <w:t>0,900</w:t>
            </w:r>
          </w:p>
        </w:tc>
        <w:tc>
          <w:tcPr>
            <w:tcW w:type="dxa" w:w="1881"/>
          </w:tcPr>
          <w:p>
            <w:r>
              <w:rPr>
                <w:rFonts w:ascii="Times New Roman" w:hAnsi="Times New Roman"/>
                <w:sz w:val="22"/>
              </w:rPr>
              <w:t>4,00</w:t>
            </w:r>
          </w:p>
        </w:tc>
        <w:tc>
          <w:tcPr>
            <w:tcW w:type="dxa" w:w="1881"/>
          </w:tcPr>
          <w:p>
            <w:r>
              <w:rPr>
                <w:rFonts w:ascii="Times New Roman" w:hAnsi="Times New Roman"/>
                <w:sz w:val="22"/>
              </w:rPr>
              <w:t>0,20</w:t>
            </w:r>
          </w:p>
        </w:tc>
      </w:tr>
      <w:tr>
        <w:tc>
          <w:tcPr>
            <w:tcW w:type="dxa" w:w="1881"/>
          </w:tcPr>
          <w:p>
            <w:r>
              <w:rPr>
                <w:rFonts w:ascii="Times New Roman" w:hAnsi="Times New Roman"/>
                <w:sz w:val="22"/>
              </w:rPr>
              <w:t>relationship</w:t>
            </w:r>
          </w:p>
        </w:tc>
        <w:tc>
          <w:tcPr>
            <w:tcW w:type="dxa" w:w="1881"/>
          </w:tcPr>
          <w:p>
            <w:r>
              <w:rPr>
                <w:rFonts w:ascii="Times New Roman" w:hAnsi="Times New Roman"/>
                <w:sz w:val="22"/>
              </w:rPr>
              <w:t>5</w:t>
            </w:r>
          </w:p>
        </w:tc>
        <w:tc>
          <w:tcPr>
            <w:tcW w:type="dxa" w:w="1881"/>
          </w:tcPr>
          <w:p>
            <w:r>
              <w:rPr>
                <w:rFonts w:ascii="Times New Roman" w:hAnsi="Times New Roman"/>
                <w:sz w:val="22"/>
              </w:rPr>
              <w:t>0,933</w:t>
            </w:r>
          </w:p>
        </w:tc>
        <w:tc>
          <w:tcPr>
            <w:tcW w:type="dxa" w:w="1881"/>
          </w:tcPr>
          <w:p>
            <w:r>
              <w:rPr>
                <w:rFonts w:ascii="Times New Roman" w:hAnsi="Times New Roman"/>
                <w:sz w:val="22"/>
              </w:rPr>
              <w:t>4,20</w:t>
            </w:r>
          </w:p>
        </w:tc>
        <w:tc>
          <w:tcPr>
            <w:tcW w:type="dxa" w:w="1881"/>
          </w:tcPr>
          <w:p>
            <w:r>
              <w:rPr>
                <w:rFonts w:ascii="Times New Roman" w:hAnsi="Times New Roman"/>
                <w:sz w:val="22"/>
              </w:rPr>
              <w:t>0,00</w:t>
            </w:r>
          </w:p>
        </w:tc>
      </w:tr>
      <w:tr>
        <w:tc>
          <w:tcPr>
            <w:tcW w:type="dxa" w:w="1881"/>
          </w:tcPr>
          <w:p>
            <w:r>
              <w:rPr>
                <w:rFonts w:ascii="Times New Roman" w:hAnsi="Times New Roman"/>
                <w:sz w:val="22"/>
              </w:rPr>
              <w:t>spanning</w:t>
            </w:r>
          </w:p>
        </w:tc>
        <w:tc>
          <w:tcPr>
            <w:tcW w:type="dxa" w:w="1881"/>
          </w:tcPr>
          <w:p>
            <w:r>
              <w:rPr>
                <w:rFonts w:ascii="Times New Roman" w:hAnsi="Times New Roman"/>
                <w:sz w:val="22"/>
              </w:rPr>
              <w:t>5</w:t>
            </w:r>
          </w:p>
        </w:tc>
        <w:tc>
          <w:tcPr>
            <w:tcW w:type="dxa" w:w="1881"/>
          </w:tcPr>
          <w:p>
            <w:r>
              <w:rPr>
                <w:rFonts w:ascii="Times New Roman" w:hAnsi="Times New Roman"/>
                <w:sz w:val="22"/>
              </w:rPr>
              <w:t>0,867</w:t>
            </w:r>
          </w:p>
        </w:tc>
        <w:tc>
          <w:tcPr>
            <w:tcW w:type="dxa" w:w="1881"/>
          </w:tcPr>
          <w:p>
            <w:r>
              <w:rPr>
                <w:rFonts w:ascii="Times New Roman" w:hAnsi="Times New Roman"/>
                <w:sz w:val="22"/>
              </w:rPr>
              <w:t>5,00</w:t>
            </w:r>
          </w:p>
        </w:tc>
        <w:tc>
          <w:tcPr>
            <w:tcW w:type="dxa" w:w="1881"/>
          </w:tcPr>
          <w:p>
            <w:r>
              <w:rPr>
                <w:rFonts w:ascii="Times New Roman" w:hAnsi="Times New Roman"/>
                <w:sz w:val="22"/>
              </w:rPr>
              <w:t>0,00</w:t>
            </w:r>
          </w:p>
        </w:tc>
      </w:tr>
      <w:tr>
        <w:tc>
          <w:tcPr>
            <w:tcW w:type="dxa" w:w="1881"/>
          </w:tcPr>
          <w:p>
            <w:r>
              <w:rPr>
                <w:rFonts w:ascii="Times New Roman" w:hAnsi="Times New Roman"/>
                <w:sz w:val="22"/>
              </w:rPr>
              <w:t>regulatory_compliance</w:t>
            </w:r>
          </w:p>
        </w:tc>
        <w:tc>
          <w:tcPr>
            <w:tcW w:type="dxa" w:w="1881"/>
          </w:tcPr>
          <w:p>
            <w:r>
              <w:rPr>
                <w:rFonts w:ascii="Times New Roman" w:hAnsi="Times New Roman"/>
                <w:sz w:val="22"/>
              </w:rPr>
              <w:t>5</w:t>
            </w:r>
          </w:p>
        </w:tc>
        <w:tc>
          <w:tcPr>
            <w:tcW w:type="dxa" w:w="1881"/>
          </w:tcPr>
          <w:p>
            <w:r>
              <w:rPr>
                <w:rFonts w:ascii="Times New Roman" w:hAnsi="Times New Roman"/>
                <w:sz w:val="22"/>
              </w:rPr>
              <w:t>0,747</w:t>
            </w:r>
          </w:p>
        </w:tc>
        <w:tc>
          <w:tcPr>
            <w:tcW w:type="dxa" w:w="1881"/>
          </w:tcPr>
          <w:p>
            <w:r>
              <w:rPr>
                <w:rFonts w:ascii="Times New Roman" w:hAnsi="Times New Roman"/>
                <w:sz w:val="22"/>
              </w:rPr>
              <w:t>5,00</w:t>
            </w:r>
          </w:p>
        </w:tc>
        <w:tc>
          <w:tcPr>
            <w:tcW w:type="dxa" w:w="1881"/>
          </w:tcPr>
          <w:p>
            <w:r>
              <w:rPr>
                <w:rFonts w:ascii="Times New Roman" w:hAnsi="Times New Roman"/>
                <w:sz w:val="22"/>
              </w:rPr>
              <w:t>0,00</w:t>
            </w:r>
          </w:p>
        </w:tc>
      </w:tr>
      <w:tr>
        <w:tc>
          <w:tcPr>
            <w:tcW w:type="dxa" w:w="1881"/>
          </w:tcPr>
          <w:p>
            <w:r>
              <w:rPr>
                <w:rFonts w:ascii="Times New Roman" w:hAnsi="Times New Roman"/>
                <w:sz w:val="22"/>
              </w:rPr>
              <w:t>regulatory_fact</w:t>
            </w:r>
          </w:p>
        </w:tc>
        <w:tc>
          <w:tcPr>
            <w:tcW w:type="dxa" w:w="1881"/>
          </w:tcPr>
          <w:p>
            <w:r>
              <w:rPr>
                <w:rFonts w:ascii="Times New Roman" w:hAnsi="Times New Roman"/>
                <w:sz w:val="22"/>
              </w:rPr>
              <w:t>5</w:t>
            </w:r>
          </w:p>
        </w:tc>
        <w:tc>
          <w:tcPr>
            <w:tcW w:type="dxa" w:w="1881"/>
          </w:tcPr>
          <w:p>
            <w:r>
              <w:rPr>
                <w:rFonts w:ascii="Times New Roman" w:hAnsi="Times New Roman"/>
                <w:sz w:val="22"/>
              </w:rPr>
              <w:t>0,833</w:t>
            </w:r>
          </w:p>
        </w:tc>
        <w:tc>
          <w:tcPr>
            <w:tcW w:type="dxa" w:w="1881"/>
          </w:tcPr>
          <w:p>
            <w:r>
              <w:rPr>
                <w:rFonts w:ascii="Times New Roman" w:hAnsi="Times New Roman"/>
                <w:sz w:val="22"/>
              </w:rPr>
              <w:t>4,00</w:t>
            </w:r>
          </w:p>
        </w:tc>
        <w:tc>
          <w:tcPr>
            <w:tcW w:type="dxa" w:w="1881"/>
          </w:tcPr>
          <w:p>
            <w:r>
              <w:rPr>
                <w:rFonts w:ascii="Times New Roman" w:hAnsi="Times New Roman"/>
                <w:sz w:val="22"/>
              </w:rPr>
              <w:t>0,00</w:t>
            </w:r>
          </w:p>
        </w:tc>
      </w:tr>
      <w:tr>
        <w:tc>
          <w:tcPr>
            <w:tcW w:type="dxa" w:w="1881"/>
          </w:tcPr>
          <w:p>
            <w:r>
              <w:rPr>
                <w:rFonts w:ascii="Times New Roman" w:hAnsi="Times New Roman"/>
                <w:sz w:val="22"/>
              </w:rPr>
              <w:t>traceability</w:t>
            </w:r>
          </w:p>
        </w:tc>
        <w:tc>
          <w:tcPr>
            <w:tcW w:type="dxa" w:w="1881"/>
          </w:tcPr>
          <w:p>
            <w:r>
              <w:rPr>
                <w:rFonts w:ascii="Times New Roman" w:hAnsi="Times New Roman"/>
                <w:sz w:val="22"/>
              </w:rPr>
              <w:t>5</w:t>
            </w:r>
          </w:p>
        </w:tc>
        <w:tc>
          <w:tcPr>
            <w:tcW w:type="dxa" w:w="1881"/>
          </w:tcPr>
          <w:p>
            <w:r>
              <w:rPr>
                <w:rFonts w:ascii="Times New Roman" w:hAnsi="Times New Roman"/>
                <w:sz w:val="22"/>
              </w:rPr>
              <w:t>0,667</w:t>
            </w:r>
          </w:p>
        </w:tc>
        <w:tc>
          <w:tcPr>
            <w:tcW w:type="dxa" w:w="1881"/>
          </w:tcPr>
          <w:p>
            <w:r>
              <w:rPr>
                <w:rFonts w:ascii="Times New Roman" w:hAnsi="Times New Roman"/>
                <w:sz w:val="22"/>
              </w:rPr>
              <w:t>4,60</w:t>
            </w:r>
          </w:p>
        </w:tc>
        <w:tc>
          <w:tcPr>
            <w:tcW w:type="dxa" w:w="1881"/>
          </w:tcPr>
          <w:p>
            <w:r>
              <w:rPr>
                <w:rFonts w:ascii="Times New Roman" w:hAnsi="Times New Roman"/>
                <w:sz w:val="22"/>
              </w:rPr>
              <w:t>0,20</w:t>
            </w:r>
          </w:p>
        </w:tc>
      </w:tr>
    </w:tbl>
    <w:p/>
    <w:p>
      <w:pPr>
        <w:pStyle w:val="Heading1"/>
      </w:pPr>
      <w:r>
        <w:rPr>
          <w:rFonts w:ascii="Times New Roman" w:hAnsi="Times New Roman" w:eastAsia="Times New Roman"/>
        </w:rPr>
        <w:t>6. Origen de las métricas reportadas</w:t>
      </w:r>
    </w:p>
    <w:p>
      <w:r>
        <w:rPr>
          <w:rFonts w:ascii="Times New Roman" w:hAnsi="Times New Roman"/>
          <w:i/>
          <w:sz w:val="22"/>
        </w:rPr>
        <w:t>Tabla 5. Origen de cada métrica citada en este capítulo.</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Métrica</w:t>
            </w:r>
          </w:p>
        </w:tc>
        <w:tc>
          <w:tcPr>
            <w:tcW w:type="dxa" w:w="3135"/>
          </w:tcPr>
          <w:p>
            <w:r>
              <w:rPr>
                <w:rFonts w:ascii="Times New Roman" w:hAnsi="Times New Roman"/>
                <w:b/>
                <w:sz w:val="22"/>
              </w:rPr>
              <w:t>Origen</w:t>
            </w:r>
          </w:p>
        </w:tc>
        <w:tc>
          <w:tcPr>
            <w:tcW w:type="dxa" w:w="3135"/>
          </w:tcPr>
          <w:p>
            <w:r>
              <w:rPr>
                <w:rFonts w:ascii="Times New Roman" w:hAnsi="Times New Roman"/>
                <w:b/>
                <w:sz w:val="22"/>
              </w:rPr>
              <w:t>Dónde se calcula</w:t>
            </w:r>
          </w:p>
        </w:tc>
      </w:tr>
      <w:tr>
        <w:tc>
          <w:tcPr>
            <w:tcW w:type="dxa" w:w="3135"/>
          </w:tcPr>
          <w:p>
            <w:r>
              <w:rPr>
                <w:rFonts w:ascii="Times New Roman" w:hAnsi="Times New Roman"/>
                <w:sz w:val="22"/>
              </w:rPr>
              <w:t>MRR y cobertura de keywords</w:t>
            </w:r>
          </w:p>
        </w:tc>
        <w:tc>
          <w:tcPr>
            <w:tcW w:type="dxa" w:w="3135"/>
          </w:tcPr>
          <w:p>
            <w:r>
              <w:rPr>
                <w:rFonts w:ascii="Times New Roman" w:hAnsi="Times New Roman"/>
                <w:sz w:val="22"/>
              </w:rPr>
              <w:t>Función propia</w:t>
            </w:r>
          </w:p>
        </w:tc>
        <w:tc>
          <w:tcPr>
            <w:tcW w:type="dxa" w:w="3135"/>
          </w:tcPr>
          <w:p>
            <w:r>
              <w:rPr>
                <w:rFonts w:ascii="Times New Roman" w:hAnsi="Times New Roman"/>
                <w:sz w:val="22"/>
              </w:rPr>
              <w:t>results.csv de run_20260819T165515Z</w:t>
            </w:r>
          </w:p>
        </w:tc>
      </w:tr>
      <w:tr>
        <w:tc>
          <w:tcPr>
            <w:tcW w:type="dxa" w:w="3135"/>
          </w:tcPr>
          <w:p>
            <w:r>
              <w:rPr>
                <w:rFonts w:ascii="Times New Roman" w:hAnsi="Times New Roman"/>
                <w:sz w:val="22"/>
              </w:rPr>
              <w:t>nDCG del harness</w:t>
            </w:r>
          </w:p>
        </w:tc>
        <w:tc>
          <w:tcPr>
            <w:tcW w:type="dxa" w:w="3135"/>
          </w:tcPr>
          <w:p>
            <w:r>
              <w:rPr>
                <w:rFonts w:ascii="Times New Roman" w:hAnsi="Times New Roman"/>
                <w:sz w:val="22"/>
              </w:rPr>
              <w:t>Función propia, no citada</w:t>
            </w:r>
          </w:p>
        </w:tc>
        <w:tc>
          <w:tcPr>
            <w:tcW w:type="dxa" w:w="3135"/>
          </w:tcPr>
          <w:p>
            <w:r>
              <w:rPr>
                <w:rFonts w:ascii="Times New Roman" w:hAnsi="Times New Roman"/>
                <w:sz w:val="22"/>
              </w:rPr>
              <w:t>21/35 filas &gt;1; no es nDCG canónico</w:t>
            </w:r>
          </w:p>
        </w:tc>
      </w:tr>
      <w:tr>
        <w:tc>
          <w:tcPr>
            <w:tcW w:type="dxa" w:w="3135"/>
          </w:tcPr>
          <w:p>
            <w:r>
              <w:rPr>
                <w:rFonts w:ascii="Times New Roman" w:hAnsi="Times New Roman"/>
                <w:sz w:val="22"/>
              </w:rPr>
              <w:t>Exactitud, exhaustividad, relevancia 1–5, is_hallucination</w:t>
            </w:r>
          </w:p>
        </w:tc>
        <w:tc>
          <w:tcPr>
            <w:tcW w:type="dxa" w:w="3135"/>
          </w:tcPr>
          <w:p>
            <w:r>
              <w:rPr>
                <w:rFonts w:ascii="Times New Roman" w:hAnsi="Times New Roman"/>
                <w:sz w:val="22"/>
              </w:rPr>
              <w:t>LLM-as-a-Judge</w:t>
            </w:r>
          </w:p>
        </w:tc>
        <w:tc>
          <w:tcPr>
            <w:tcW w:type="dxa" w:w="3135"/>
          </w:tcPr>
          <w:p>
            <w:r>
              <w:rPr>
                <w:rFonts w:ascii="Times New Roman" w:hAnsi="Times New Roman"/>
                <w:sz w:val="22"/>
              </w:rPr>
              <w:t>Mismo CSV; no es juicio humano</w:t>
            </w:r>
          </w:p>
        </w:tc>
      </w:tr>
      <w:tr>
        <w:tc>
          <w:tcPr>
            <w:tcW w:type="dxa" w:w="3135"/>
          </w:tcPr>
          <w:p>
            <w:r>
              <w:rPr>
                <w:rFonts w:ascii="Times New Roman" w:hAnsi="Times New Roman"/>
                <w:sz w:val="22"/>
              </w:rPr>
              <w:t>RAGAS</w:t>
            </w:r>
          </w:p>
        </w:tc>
        <w:tc>
          <w:tcPr>
            <w:tcW w:type="dxa" w:w="3135"/>
          </w:tcPr>
          <w:p>
            <w:r>
              <w:rPr>
                <w:rFonts w:ascii="Times New Roman" w:hAnsi="Times New Roman"/>
                <w:sz w:val="22"/>
              </w:rPr>
              <w:t>No aplica</w:t>
            </w:r>
          </w:p>
        </w:tc>
        <w:tc>
          <w:tcPr>
            <w:tcW w:type="dxa" w:w="3135"/>
          </w:tcPr>
          <w:p>
            <w:r>
              <w:rPr>
                <w:rFonts w:ascii="Times New Roman" w:hAnsi="Times New Roman"/>
                <w:sz w:val="22"/>
              </w:rPr>
              <w:t>No se ejecutó</w:t>
            </w:r>
          </w:p>
        </w:tc>
      </w:tr>
      <w:tr>
        <w:tc>
          <w:tcPr>
            <w:tcW w:type="dxa" w:w="3135"/>
          </w:tcPr>
          <w:p>
            <w:r>
              <w:rPr>
                <w:rFonts w:ascii="Times New Roman" w:hAnsi="Times New Roman"/>
                <w:sz w:val="22"/>
              </w:rPr>
              <w:t>Acuerdo autor–juez (±1)</w:t>
            </w:r>
          </w:p>
        </w:tc>
        <w:tc>
          <w:tcPr>
            <w:tcW w:type="dxa" w:w="3135"/>
          </w:tcPr>
          <w:p>
            <w:r>
              <w:rPr>
                <w:rFonts w:ascii="Times New Roman" w:hAnsi="Times New Roman"/>
                <w:sz w:val="22"/>
              </w:rPr>
              <w:t>Pendiente de anotación</w:t>
            </w:r>
          </w:p>
        </w:tc>
        <w:tc>
          <w:tcPr>
            <w:tcW w:type="dxa" w:w="3135"/>
          </w:tcPr>
          <w:p>
            <w:r>
              <w:rPr>
                <w:rFonts w:ascii="Times New Roman" w:hAnsi="Times New Roman"/>
                <w:sz w:val="22"/>
              </w:rPr>
              <w:t>author_scorecard.csv (21 ítems)</w:t>
            </w:r>
          </w:p>
        </w:tc>
      </w:tr>
      <w:tr>
        <w:tc>
          <w:tcPr>
            <w:tcW w:type="dxa" w:w="3135"/>
          </w:tcPr>
          <w:p>
            <w:r>
              <w:rPr>
                <w:rFonts w:ascii="Times New Roman" w:hAnsi="Times New Roman"/>
                <w:sz w:val="22"/>
              </w:rPr>
              <w:t>κ de Cohen</w:t>
            </w:r>
          </w:p>
        </w:tc>
        <w:tc>
          <w:tcPr>
            <w:tcW w:type="dxa" w:w="3135"/>
          </w:tcPr>
          <w:p>
            <w:r>
              <w:rPr>
                <w:rFonts w:ascii="Times New Roman" w:hAnsi="Times New Roman"/>
                <w:sz w:val="22"/>
              </w:rPr>
              <w:t>No aplica</w:t>
            </w:r>
          </w:p>
        </w:tc>
        <w:tc>
          <w:tcPr>
            <w:tcW w:type="dxa" w:w="3135"/>
          </w:tcPr>
          <w:p>
            <w:r>
              <w:rPr>
                <w:rFonts w:ascii="Times New Roman" w:hAnsi="Times New Roman"/>
                <w:sz w:val="22"/>
              </w:rPr>
              <w:t>Un solo anotador humano</w:t>
            </w:r>
          </w:p>
        </w:tc>
      </w:tr>
    </w:tbl>
    <w:p/>
    <w:p>
      <w:pPr>
        <w:pStyle w:val="Heading1"/>
      </w:pPr>
      <w:r>
        <w:rPr>
          <w:rFonts w:ascii="Times New Roman" w:hAnsi="Times New Roman" w:eastAsia="Times New Roman"/>
        </w:rPr>
        <w:t>7. Fallos de trazabilidad (dos casos del CSV)</w:t>
      </w:r>
    </w:p>
    <w:p>
      <w:pPr>
        <w:spacing w:line="360" w:lineRule="auto"/>
        <w:jc w:val="both"/>
      </w:pPr>
      <w:r>
        <w:rPr>
          <w:rFonts w:ascii="Times New Roman" w:hAnsi="Times New Roman"/>
          <w:b w:val="0"/>
          <w:sz w:val="24"/>
        </w:rPr>
        <w:t>Recortados de failures.json de la misma corrida (peores traceability por MRR).</w:t>
      </w:r>
    </w:p>
    <w:p>
      <w:pPr>
        <w:spacing w:line="360" w:lineRule="auto"/>
        <w:jc w:val="both"/>
      </w:pPr>
      <w:r>
        <w:rPr>
          <w:rFonts w:ascii="Times New Roman" w:hAnsi="Times New Roman"/>
          <w:b/>
          <w:sz w:val="24"/>
        </w:rPr>
        <w:t>Fallo H1 (ítem 34, traceability, MRR 0,000).</w:t>
      </w:r>
    </w:p>
    <w:p>
      <w:pPr>
        <w:spacing w:line="360" w:lineRule="auto"/>
        <w:jc w:val="both"/>
      </w:pPr>
      <w:r>
        <w:rPr>
          <w:rFonts w:ascii="Times New Roman" w:hAnsi="Times New Roman"/>
          <w:b w:val="0"/>
          <w:sz w:val="24"/>
        </w:rPr>
        <w:t>Pregunta: ¿Cuál es el número de registro de AGROIL para araña roja en platanera?</w:t>
      </w:r>
    </w:p>
    <w:p>
      <w:pPr>
        <w:spacing w:line="360" w:lineRule="auto"/>
        <w:jc w:val="both"/>
      </w:pPr>
      <w:r>
        <w:rPr>
          <w:rFonts w:ascii="Times New Roman" w:hAnsi="Times New Roman"/>
          <w:b w:val="0"/>
          <w:sz w:val="24"/>
        </w:rPr>
        <w:t>Referencia: AGROIL figura con el n.º 22319 (cultivos/platanera.md).</w:t>
      </w:r>
    </w:p>
    <w:p>
      <w:pPr>
        <w:spacing w:line="360" w:lineRule="auto"/>
        <w:jc w:val="both"/>
      </w:pPr>
      <w:r>
        <w:rPr>
          <w:rFonts w:ascii="Times New Roman" w:hAnsi="Times New Roman"/>
          <w:b w:val="0"/>
          <w:sz w:val="24"/>
        </w:rPr>
        <w:t>Fragmentos recuperados: GIP/regfiweb, papaya, intro de platanera, berenjena, aguacate, forrajes, FAQ, olivo. El dossier de platanera entra en el top-k, pero el chunk con 22319 no.</w:t>
      </w:r>
    </w:p>
    <w:p>
      <w:pPr>
        <w:spacing w:line="360" w:lineRule="auto"/>
        <w:jc w:val="both"/>
      </w:pPr>
      <w:r>
        <w:rPr>
          <w:rFonts w:ascii="Times New Roman" w:hAnsi="Times New Roman"/>
          <w:b w:val="0"/>
          <w:sz w:val="24"/>
        </w:rPr>
        <w:t>Respuesta RAG: inventa el registro ES-01744.</w:t>
      </w:r>
    </w:p>
    <w:p>
      <w:pPr>
        <w:spacing w:line="360" w:lineRule="auto"/>
        <w:jc w:val="both"/>
      </w:pPr>
      <w:r>
        <w:rPr>
          <w:rFonts w:ascii="Times New Roman" w:hAnsi="Times New Roman"/>
          <w:b w:val="0"/>
          <w:sz w:val="24"/>
        </w:rPr>
        <w:t>Causa: fallo de recuperación sobre un identificador puntual en un dossier largo; el generador no se abstiene y alucina un código plausible. El juez asignó exactitud 5,00 pese al error: hay leakage del juez (ve la referencia y puntúa el tema, no el dígito).</w:t>
      </w:r>
    </w:p>
    <w:p>
      <w:pPr>
        <w:spacing w:line="360" w:lineRule="auto"/>
        <w:jc w:val="both"/>
      </w:pPr>
      <w:r>
        <w:rPr>
          <w:rFonts w:ascii="Times New Roman" w:hAnsi="Times New Roman"/>
          <w:b/>
          <w:sz w:val="24"/>
        </w:rPr>
        <w:t>Fallo H2 (ítem 35, traceability, MRR 0,333).</w:t>
      </w:r>
    </w:p>
    <w:p>
      <w:pPr>
        <w:spacing w:line="360" w:lineRule="auto"/>
        <w:jc w:val="both"/>
      </w:pPr>
      <w:r>
        <w:rPr>
          <w:rFonts w:ascii="Times New Roman" w:hAnsi="Times New Roman"/>
          <w:b w:val="0"/>
          <w:sz w:val="24"/>
        </w:rPr>
        <w:t>Pregunta: ¿Cuál es la URL del texto consolidado POSEI Canarias 2026 citada en el corpus?</w:t>
      </w:r>
    </w:p>
    <w:p>
      <w:pPr>
        <w:spacing w:line="360" w:lineRule="auto"/>
        <w:jc w:val="both"/>
      </w:pPr>
      <w:r>
        <w:rPr>
          <w:rFonts w:ascii="Times New Roman" w:hAnsi="Times New Roman"/>
          <w:b w:val="0"/>
          <w:sz w:val="24"/>
        </w:rPr>
        <w:t>Referencia: …POSEI-Canarias-texto-consolidado-2026-30-12-2025.pdf.</w:t>
      </w:r>
    </w:p>
    <w:p>
      <w:pPr>
        <w:spacing w:line="360" w:lineRule="auto"/>
        <w:jc w:val="both"/>
      </w:pPr>
      <w:r>
        <w:rPr>
          <w:rFonts w:ascii="Times New Roman" w:hAnsi="Times New Roman"/>
          <w:b w:val="0"/>
          <w:sz w:val="24"/>
        </w:rPr>
        <w:t>Fragmentos: README, 02_posei_marco.md (varias veces) e índice. El preview incluye también el PDF de 2025.</w:t>
      </w:r>
    </w:p>
    <w:p>
      <w:pPr>
        <w:spacing w:line="360" w:lineRule="auto"/>
        <w:jc w:val="both"/>
      </w:pPr>
      <w:r>
        <w:rPr>
          <w:rFonts w:ascii="Times New Roman" w:hAnsi="Times New Roman"/>
          <w:b w:val="0"/>
          <w:sz w:val="24"/>
        </w:rPr>
        <w:t>Respuesta RAG: devuelve la URL de 2025, no la de 2026.</w:t>
      </w:r>
    </w:p>
    <w:p>
      <w:pPr>
        <w:spacing w:line="360" w:lineRule="auto"/>
        <w:jc w:val="both"/>
      </w:pPr>
      <w:r>
        <w:rPr>
          <w:rFonts w:ascii="Times New Roman" w:hAnsi="Times New Roman"/>
          <w:b w:val="0"/>
          <w:sz w:val="24"/>
        </w:rPr>
        <w:t>Causa: homonimia léxica (mismo path, distinto año). BM25/denso recuperan el marco; el generador elige el enlace equivocado.</w:t>
      </w:r>
    </w:p>
    <w:p>
      <w:pPr>
        <w:pStyle w:val="Heading1"/>
      </w:pPr>
      <w:r>
        <w:rPr>
          <w:rFonts w:ascii="Times New Roman" w:hAnsi="Times New Roman" w:eastAsia="Times New Roman"/>
        </w:rPr>
        <w:t>8. Concordancia experto–juez</w:t>
      </w:r>
    </w:p>
    <w:p>
      <w:pPr>
        <w:spacing w:line="360" w:lineRule="auto"/>
        <w:jc w:val="both"/>
      </w:pPr>
      <w:r>
        <w:rPr>
          <w:rFonts w:ascii="Times New Roman" w:hAnsi="Times New Roman"/>
          <w:b w:val="0"/>
          <w:sz w:val="24"/>
        </w:rPr>
        <w:t>Protocolo: el autor puntúa a ciegas los 21 ítems de author_scorecard.csv (rúbrica 1–5 de exactitud) sin abrir las columnas del juez, y luego se calcula el acuerdo ±1 con scripts/score_human_agreement.py. No hay segundo anotador; por tanto no hay κ. Esa plantilla ya está generada a partir de este run; el porcentaje se añadirá cuando el autor rellene las notas.</w:t>
      </w:r>
    </w:p>
    <w:p>
      <w:pPr>
        <w:pStyle w:val="Heading1"/>
      </w:pPr>
      <w:r>
        <w:rPr>
          <w:rFonts w:ascii="Times New Roman" w:hAnsi="Times New Roman" w:eastAsia="Times New Roman"/>
        </w:rPr>
        <w:t>9. Discusión y análisis de los resultados</w:t>
      </w:r>
    </w:p>
    <w:p>
      <w:pPr>
        <w:spacing w:line="360" w:lineRule="auto"/>
        <w:jc w:val="both"/>
      </w:pPr>
      <w:r>
        <w:rPr>
          <w:rFonts w:ascii="Times New Roman" w:hAnsi="Times New Roman"/>
          <w:b w:val="0"/>
          <w:sz w:val="24"/>
        </w:rPr>
        <w:t>Los datos apoyan la hipótesis operativa del TFM: enriquecer el prompt con evidencia recuperada mitiga alucinaciones factuales frente a un LLM autónomo en un dominio normativo denso. La mejora en exhaustividad (+1,60) es especialmente coherente con la lógica RAG: sin contexto, el modelo omite requisitos, plazos o cifras; con fragmentos, completa mejor la respuesta.</w:t>
      </w:r>
    </w:p>
    <w:p>
      <w:pPr>
        <w:spacing w:line="360" w:lineRule="auto"/>
        <w:jc w:val="both"/>
      </w:pPr>
      <w:r>
        <w:rPr>
          <w:rFonts w:ascii="Times New Roman" w:hAnsi="Times New Roman"/>
          <w:b w:val="0"/>
          <w:sz w:val="24"/>
        </w:rPr>
        <w:t>Respecto a la utilidad del recuperador, un MRR ≈ 0,81 indica que, de media, el primer documento útil aparece pronto en el ranking. La cobertura de keywords alta (0,96) sugiere buena alineación léxica con el banco. El punto débil es la trazabilidad (identificadores MAPA, URLs, códigos): el top-k puede traer el documento vecino y el generador «completa» con un código verosímil. Ese fallo es a la vez de retrieval y de grounding, y marca una línea de mejora (chunking tabular, citas estrictas, abstención si no hay match de identificador).</w:t>
      </w:r>
    </w:p>
    <w:p>
      <w:pPr>
        <w:spacing w:line="360" w:lineRule="auto"/>
        <w:jc w:val="both"/>
      </w:pPr>
      <w:r>
        <w:rPr>
          <w:rFonts w:ascii="Times New Roman" w:hAnsi="Times New Roman"/>
          <w:b w:val="0"/>
          <w:sz w:val="24"/>
        </w:rPr>
        <w:t>Los resultados justifican mantener el RAG híbrido como núcleo del producto y orientar el trabajo siguiente a: (a) reforzar categorías débiles (trazabilidad); (b) cerrar el ciclo HITL → banco de oro; (c) congelar configs por organización; (d) ampliar el banco y, si procede, una auditoría RAGAS/humana. En términos de producto, la reducción de alucinación del 31,4 % al 8,6 % es el argumento empírico frente al tribunal: RAG no es magia, pero sí un mecanismo medible de anclaje.</w:t>
      </w:r>
    </w:p>
    <w:p>
      <w:pPr>
        <w:spacing w:line="360" w:lineRule="auto"/>
        <w:jc w:val="both"/>
      </w:pPr>
      <w:r>
        <w:rPr>
          <w:rFonts w:ascii="Times New Roman" w:hAnsi="Times New Roman"/>
          <w:b w:val="0"/>
          <w:sz w:val="24"/>
        </w:rPr>
        <w:t>En síntesis, en run_20260819T165515Z RAG mejora exactitud (+1,14) y reduce la marca binaria de alucinación (0,314→0,086) frente al mismo LLM sin contexto. El patrón no es «el híbrido falla en spanning»: en este banco spanning es sólido. El hueco empírico es trazabilidad. El juez 1–5 no es una auditoría legal: el caso H1 lo demuestra. RAG desplaza parte del riesgo de alucinación al retriever; no lo suprime. Graph RAG y visión end-to-end no forman parte de esta evaluación; el bucle LangGraph orquesta el chat, pero la corrida congelada mide el retriever híbrido con top-k fijo.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