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Resultados evaluación — banco routes/tests.jsonl (150 sintéticas)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4"/>
        </w:rPr>
        <w:t>ADVERTENCIA: Esta corrida NO es el banco de oro del TFM (N=35, run_20260819T165515Z). Es el banco sintético AgroLLM/POSEI. No sustituye las cifras del capítulo de evaluación.</w:t>
      </w:r>
    </w:p>
    <w:p>
      <w:pPr>
        <w:pStyle w:val="Heading1"/>
      </w:pPr>
      <w:r>
        <w:rPr>
          <w:rFonts w:ascii="Times New Roman" w:hAnsi="Times New Roman"/>
        </w:rPr>
        <w:t>1. Alcance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run_id: run_20260820T185427Z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Banco: gateway/routes/tests.jsonl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Corpus: knowledge-base completo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Filas: 150 | OK: 147 | Timeouts: 3 (ítems 10, 45, 57)</w:t>
      </w:r>
    </w:p>
    <w:p>
      <w:pPr>
        <w:pStyle w:val="Heading1"/>
      </w:pPr>
      <w:r>
        <w:rPr>
          <w:rFonts w:ascii="Times New Roman" w:hAnsi="Times New Roman"/>
        </w:rPr>
        <w:t>2. Recuperación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MRR: 0,5773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Cobertura: 0,9490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nDCG harness (NO canónico): 0,7688 — 33 filas &gt;1</w:t>
      </w:r>
    </w:p>
    <w:p>
      <w:pPr>
        <w:pStyle w:val="Heading1"/>
      </w:pPr>
      <w:r>
        <w:rPr>
          <w:rFonts w:ascii="Times New Roman" w:hAnsi="Times New Roman"/>
        </w:rPr>
        <w:t>3. Generación (LLM-as-a-Judge)</w:t>
      </w:r>
    </w:p>
    <w:p>
      <w:r>
        <w:rPr>
          <w:rFonts w:ascii="Times New Roman" w:hAnsi="Times New Roman"/>
          <w:i/>
          <w:sz w:val="22"/>
        </w:rPr>
        <w:t>Tabla 1. Comparación global (150 ítems; 147 con juez).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2"/>
              </w:rPr>
              <w:t>Métrica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2"/>
              </w:rPr>
              <w:t>Sin RAG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2"/>
              </w:rPr>
              <w:t>Con RAG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2"/>
              </w:rPr>
              <w:t>Dif.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Exactitud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3,46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3,94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0,49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Exhaustividad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2,03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3,63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1,61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Relevancia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2,42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3,93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1,50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Tasa alucinación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0,231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0,190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-0,041</w:t>
            </w:r>
          </w:p>
        </w:tc>
      </w:tr>
    </w:tbl>
    <w:p/>
    <w:p>
      <w:r>
        <w:rPr>
          <w:rFonts w:ascii="Times New Roman" w:hAnsi="Times New Roman"/>
          <w:i/>
          <w:sz w:val="22"/>
        </w:rPr>
        <w:t>Tabla 2. Desglose por tipología.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rFonts w:ascii="Times New Roman" w:hAnsi="Times New Roman"/>
                <w:b/>
                <w:sz w:val="22"/>
              </w:rPr>
              <w:t>Categoría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sz w:val="22"/>
              </w:rPr>
              <w:t>N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sz w:val="22"/>
              </w:rPr>
              <w:t>N juez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sz w:val="22"/>
              </w:rPr>
              <w:t>MRR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sz w:val="22"/>
              </w:rPr>
              <w:t>Acc RAG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sz w:val="22"/>
              </w:rPr>
              <w:t>Acc sin RAG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b/>
                <w:sz w:val="22"/>
              </w:rPr>
              <w:t>Halluc RAG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comparative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0,554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4,40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4,00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0,00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direct_fact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70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67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0,604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3,94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3,51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0,19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holistic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0,661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4,00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2,50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0,20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numerical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0,473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4,00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3,70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0,30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relationship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0,588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4,60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3,10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0,10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spanning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0,580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3,70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3,70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0,20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temporal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0,502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3,58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3,30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/>
                <w:sz w:val="22"/>
              </w:rPr>
              <w:t>0,25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</w:rPr>
        <w:t>4. Lectura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4"/>
        </w:rPr>
        <w:t>RAG mejora exactitud (~+0,49), exhaustividad (~+1,61) y relevancia (~+1,50). La alucinación baja de forma modesta (0,231 → 0,190), lejos del salto del oro N=35 (0,314 → 0,086).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4"/>
        </w:rPr>
        <w:t>Para memoria/tribunal: citar solo run_20260819T165515Z (N=35). Esta corrida es estrés exploratorio del pipeline.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