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C830" w14:textId="77777777" w:rsidR="007D7613" w:rsidRPr="00796D5E" w:rsidRDefault="007D7613" w:rsidP="00796D5E">
      <w:pPr>
        <w:pStyle w:val="Heading2"/>
        <w:spacing w:before="0"/>
        <w:rPr>
          <w:rFonts w:ascii="Calibri" w:hAnsi="Calibri" w:cs="Calibri"/>
          <w:sz w:val="28"/>
          <w:szCs w:val="28"/>
        </w:rPr>
      </w:pPr>
      <w:r w:rsidRPr="00796D5E">
        <w:rPr>
          <w:rFonts w:ascii="Calibri" w:hAnsi="Calibri" w:cs="Calibri"/>
          <w:sz w:val="28"/>
          <w:szCs w:val="28"/>
        </w:rPr>
        <w:t xml:space="preserve">Profiling </w:t>
      </w:r>
    </w:p>
    <w:p w14:paraId="345F1356" w14:textId="77777777" w:rsidR="007D7613" w:rsidRPr="00796D5E" w:rsidRDefault="007D7613" w:rsidP="00796D5E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4.10 Patient Profiling</w:t>
      </w:r>
    </w:p>
    <w:p w14:paraId="3E75AA00" w14:textId="77777777" w:rsidR="007D7613" w:rsidRPr="00796D5E" w:rsidRDefault="007D7613" w:rsidP="00796D5E">
      <w:pPr>
        <w:rPr>
          <w:rFonts w:ascii="Calibri" w:hAnsi="Calibri" w:cs="Calibri"/>
        </w:rPr>
      </w:pPr>
      <w:r w:rsidRPr="00796D5E">
        <w:rPr>
          <w:rFonts w:ascii="Calibri" w:hAnsi="Calibri" w:cs="Calibri"/>
        </w:rPr>
        <w:t>This section provides insights into patient trends over the last 12 months, including NHS and private patient counts, item dispensing patterns, and year-over-year comparisons.</w:t>
      </w:r>
    </w:p>
    <w:p w14:paraId="4307A116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Patient Trends</w:t>
      </w:r>
    </w:p>
    <w:p w14:paraId="16BB8FBA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Patient trends over the last 12 months</w:t>
      </w:r>
    </w:p>
    <w:p w14:paraId="34859808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Labelled patient trends</w:t>
      </w:r>
    </w:p>
    <w:p w14:paraId="04262CFF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NHS Patient Count</w:t>
      </w:r>
    </w:p>
    <w:p w14:paraId="4798EE0E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Private Patient Count</w:t>
      </w:r>
    </w:p>
    <w:p w14:paraId="50F16A7F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Total Patient Count</w:t>
      </w:r>
    </w:p>
    <w:p w14:paraId="588F7B0D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Year-over-Year Total Patient Count</w:t>
      </w:r>
    </w:p>
    <w:p w14:paraId="137097AA" w14:textId="77777777" w:rsidR="007D7613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Total Items per Patient</w:t>
      </w:r>
    </w:p>
    <w:p w14:paraId="47F612F6" w14:textId="77777777" w:rsidR="00796D5E" w:rsidRPr="00796D5E" w:rsidRDefault="00796D5E" w:rsidP="00796D5E">
      <w:pPr>
        <w:spacing w:after="0"/>
        <w:rPr>
          <w:rFonts w:ascii="Calibri" w:hAnsi="Calibri" w:cs="Calibri"/>
        </w:rPr>
      </w:pPr>
    </w:p>
    <w:p w14:paraId="6177047C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New Patient Trends</w:t>
      </w:r>
    </w:p>
    <w:p w14:paraId="2DF3FDF0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New NHS Patient Trends</w:t>
      </w:r>
    </w:p>
    <w:p w14:paraId="0461A174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Unique Patient Count</w:t>
      </w:r>
    </w:p>
    <w:p w14:paraId="307B9AA3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Items per New Patient</w:t>
      </w:r>
    </w:p>
    <w:p w14:paraId="10E81B3C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Average Value per Patient</w:t>
      </w:r>
    </w:p>
    <w:p w14:paraId="3369933B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Percentage of New Patients with Contact Number</w:t>
      </w:r>
    </w:p>
    <w:p w14:paraId="74420E61" w14:textId="77777777" w:rsidR="007D7613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Percentage of New Patients Nominated</w:t>
      </w:r>
    </w:p>
    <w:p w14:paraId="7761D933" w14:textId="77777777" w:rsidR="00796D5E" w:rsidRPr="00796D5E" w:rsidRDefault="00796D5E" w:rsidP="00796D5E">
      <w:pPr>
        <w:spacing w:after="0"/>
        <w:rPr>
          <w:rFonts w:ascii="Calibri" w:hAnsi="Calibri" w:cs="Calibri"/>
        </w:rPr>
      </w:pPr>
    </w:p>
    <w:p w14:paraId="252E982D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Analysis by Age Group</w:t>
      </w:r>
    </w:p>
    <w:p w14:paraId="0790B06C" w14:textId="77777777" w:rsidR="007D7613" w:rsidRPr="00796D5E" w:rsidRDefault="007D7613" w:rsidP="00796D5E">
      <w:pPr>
        <w:rPr>
          <w:rFonts w:ascii="Calibri" w:hAnsi="Calibri" w:cs="Calibri"/>
        </w:rPr>
      </w:pPr>
      <w:r w:rsidRPr="00796D5E">
        <w:rPr>
          <w:rFonts w:ascii="Calibri" w:hAnsi="Calibri" w:cs="Calibri"/>
        </w:rPr>
        <w:t>- Analysis of all patients by age group</w:t>
      </w:r>
    </w:p>
    <w:p w14:paraId="54CCC9F1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Patient Visit Analysis</w:t>
      </w:r>
    </w:p>
    <w:p w14:paraId="4F6C10EB" w14:textId="77777777" w:rsidR="007D7613" w:rsidRPr="00796D5E" w:rsidRDefault="007D7613" w:rsidP="00796D5E">
      <w:pPr>
        <w:rPr>
          <w:rFonts w:ascii="Calibri" w:hAnsi="Calibri" w:cs="Calibri"/>
        </w:rPr>
      </w:pPr>
      <w:r w:rsidRPr="00796D5E">
        <w:rPr>
          <w:rFonts w:ascii="Calibri" w:hAnsi="Calibri" w:cs="Calibri"/>
        </w:rPr>
        <w:t>- Comparison of Unique Patients vs Monthly Patient Counts</w:t>
      </w:r>
    </w:p>
    <w:p w14:paraId="7FD1F690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BNF Profile</w:t>
      </w:r>
    </w:p>
    <w:p w14:paraId="34ECE16F" w14:textId="77777777" w:rsidR="007D7613" w:rsidRPr="00796D5E" w:rsidRDefault="007D7613" w:rsidP="00796D5E">
      <w:pPr>
        <w:rPr>
          <w:rFonts w:ascii="Calibri" w:hAnsi="Calibri" w:cs="Calibri"/>
        </w:rPr>
      </w:pPr>
      <w:r w:rsidRPr="00796D5E">
        <w:rPr>
          <w:rFonts w:ascii="Calibri" w:hAnsi="Calibri" w:cs="Calibri"/>
        </w:rPr>
        <w:t>- Analysis by BNF Category</w:t>
      </w:r>
    </w:p>
    <w:p w14:paraId="7E91212F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Condition-Based Analysis</w:t>
      </w:r>
    </w:p>
    <w:p w14:paraId="20B2FB51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Annual probability and margin per patient supplied with drugs from the BNF parameter</w:t>
      </w:r>
    </w:p>
    <w:p w14:paraId="0D6013FE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Includes analysis of other medicines prescribed</w:t>
      </w:r>
    </w:p>
    <w:p w14:paraId="39EBA847" w14:textId="77777777" w:rsidR="007D7613" w:rsidRPr="00796D5E" w:rsidRDefault="007D7613" w:rsidP="00796D5E">
      <w:pPr>
        <w:pStyle w:val="Heading3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 xml:space="preserve">Patients </w:t>
      </w:r>
      <w:proofErr w:type="gramStart"/>
      <w:r w:rsidRPr="00796D5E">
        <w:rPr>
          <w:rFonts w:ascii="Calibri" w:hAnsi="Calibri" w:cs="Calibri"/>
          <w:sz w:val="24"/>
          <w:szCs w:val="24"/>
        </w:rPr>
        <w:t>on</w:t>
      </w:r>
      <w:proofErr w:type="gramEnd"/>
      <w:r w:rsidRPr="00796D5E">
        <w:rPr>
          <w:rFonts w:ascii="Calibri" w:hAnsi="Calibri" w:cs="Calibri"/>
          <w:sz w:val="24"/>
          <w:szCs w:val="24"/>
        </w:rPr>
        <w:t xml:space="preserve"> New Conditions</w:t>
      </w:r>
    </w:p>
    <w:p w14:paraId="20A37DB1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Analysis by BNF Category</w:t>
      </w:r>
    </w:p>
    <w:p w14:paraId="3B19B73C" w14:textId="77777777" w:rsidR="007D7613" w:rsidRPr="00796D5E" w:rsidRDefault="007D7613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- Items dispensed and unique patient count</w:t>
      </w:r>
    </w:p>
    <w:p w14:paraId="01D6B611" w14:textId="77777777" w:rsidR="007D7613" w:rsidRPr="00796D5E" w:rsidRDefault="007D7613" w:rsidP="00796D5E">
      <w:pPr>
        <w:pStyle w:val="ListBullet"/>
        <w:numPr>
          <w:ilvl w:val="0"/>
          <w:numId w:val="0"/>
        </w:numPr>
        <w:rPr>
          <w:rFonts w:ascii="Calibri" w:hAnsi="Calibri" w:cs="Calibri"/>
        </w:rPr>
      </w:pPr>
    </w:p>
    <w:p w14:paraId="3BC1F69A" w14:textId="77777777" w:rsidR="007603F6" w:rsidRPr="00796D5E" w:rsidRDefault="00000000" w:rsidP="00796D5E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4.20 Top Patients</w:t>
      </w:r>
    </w:p>
    <w:p w14:paraId="1B1E54A1" w14:textId="77777777" w:rsidR="007603F6" w:rsidRPr="00796D5E" w:rsidRDefault="00000000" w:rsidP="00796D5E">
      <w:pPr>
        <w:rPr>
          <w:rFonts w:ascii="Calibri" w:hAnsi="Calibri" w:cs="Calibri"/>
        </w:rPr>
      </w:pPr>
      <w:r w:rsidRPr="00796D5E">
        <w:rPr>
          <w:rFonts w:ascii="Calibri" w:hAnsi="Calibri" w:cs="Calibri"/>
        </w:rPr>
        <w:t>This section identifies high-value patients based on margin and item analysis.</w:t>
      </w:r>
    </w:p>
    <w:p w14:paraId="75A1606E" w14:textId="77777777" w:rsidR="007603F6" w:rsidRPr="00796D5E" w:rsidRDefault="00000000" w:rsidP="00796D5E">
      <w:pPr>
        <w:pStyle w:val="ListBullet"/>
        <w:rPr>
          <w:rFonts w:ascii="Calibri" w:hAnsi="Calibri" w:cs="Calibri"/>
        </w:rPr>
      </w:pPr>
      <w:r w:rsidRPr="00796D5E">
        <w:rPr>
          <w:rFonts w:ascii="Calibri" w:hAnsi="Calibri" w:cs="Calibri"/>
        </w:rPr>
        <w:t>Key Metrics:</w:t>
      </w:r>
    </w:p>
    <w:p w14:paraId="4AFD41CA" w14:textId="77777777" w:rsidR="007603F6" w:rsidRPr="00796D5E" w:rsidRDefault="00000000" w:rsidP="00796D5E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796D5E">
        <w:rPr>
          <w:rFonts w:ascii="Calibri" w:hAnsi="Calibri" w:cs="Calibri"/>
        </w:rPr>
        <w:lastRenderedPageBreak/>
        <w:t>• Top Margin Patients</w:t>
      </w:r>
    </w:p>
    <w:p w14:paraId="70D1B686" w14:textId="77777777" w:rsidR="007603F6" w:rsidRPr="00796D5E" w:rsidRDefault="00000000" w:rsidP="00796D5E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796D5E">
        <w:rPr>
          <w:rFonts w:ascii="Calibri" w:hAnsi="Calibri" w:cs="Calibri"/>
        </w:rPr>
        <w:t>• Medicine Analysis</w:t>
      </w:r>
    </w:p>
    <w:p w14:paraId="38543235" w14:textId="77777777" w:rsidR="007603F6" w:rsidRPr="00796D5E" w:rsidRDefault="00000000" w:rsidP="00796D5E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796D5E">
        <w:rPr>
          <w:rFonts w:ascii="Calibri" w:hAnsi="Calibri" w:cs="Calibri"/>
        </w:rPr>
        <w:t>• Top Item Patients</w:t>
      </w:r>
    </w:p>
    <w:p w14:paraId="1116FB17" w14:textId="77777777" w:rsidR="007603F6" w:rsidRPr="00796D5E" w:rsidRDefault="00000000" w:rsidP="00796D5E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4.35 Patient Compliance</w:t>
      </w:r>
    </w:p>
    <w:p w14:paraId="39AB610C" w14:textId="77777777" w:rsidR="007603F6" w:rsidRPr="00796D5E" w:rsidRDefault="00000000" w:rsidP="00796D5E">
      <w:pPr>
        <w:rPr>
          <w:rFonts w:ascii="Calibri" w:hAnsi="Calibri" w:cs="Calibri"/>
        </w:rPr>
      </w:pPr>
      <w:r w:rsidRPr="00796D5E">
        <w:rPr>
          <w:rFonts w:ascii="Calibri" w:hAnsi="Calibri" w:cs="Calibri"/>
        </w:rPr>
        <w:t>This section tracks patient compliance through dispensing patterns.</w:t>
      </w:r>
    </w:p>
    <w:p w14:paraId="7EB6CBF8" w14:textId="77777777" w:rsidR="007603F6" w:rsidRPr="00796D5E" w:rsidRDefault="00000000" w:rsidP="00796D5E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796D5E">
        <w:rPr>
          <w:rFonts w:ascii="Calibri" w:hAnsi="Calibri" w:cs="Calibri"/>
        </w:rPr>
        <w:t>Key Insights:</w:t>
      </w:r>
    </w:p>
    <w:p w14:paraId="45BBD54A" w14:textId="77777777" w:rsidR="007603F6" w:rsidRPr="00796D5E" w:rsidRDefault="00000000" w:rsidP="00796D5E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796D5E">
        <w:rPr>
          <w:rFonts w:ascii="Calibri" w:hAnsi="Calibri" w:cs="Calibri"/>
        </w:rPr>
        <w:t>• Compliance Report</w:t>
      </w:r>
    </w:p>
    <w:p w14:paraId="51F25CCF" w14:textId="77777777" w:rsidR="007603F6" w:rsidRPr="00796D5E" w:rsidRDefault="00000000" w:rsidP="00796D5E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796D5E">
        <w:rPr>
          <w:rFonts w:ascii="Calibri" w:hAnsi="Calibri" w:cs="Calibri"/>
        </w:rPr>
        <w:t>• Patients Dispensing Pattern</w:t>
      </w:r>
    </w:p>
    <w:p w14:paraId="59DF64BD" w14:textId="77777777" w:rsidR="007603F6" w:rsidRPr="00796D5E" w:rsidRDefault="00000000" w:rsidP="00796D5E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796D5E">
        <w:rPr>
          <w:rFonts w:ascii="Calibri" w:hAnsi="Calibri" w:cs="Calibri"/>
          <w:sz w:val="24"/>
          <w:szCs w:val="24"/>
        </w:rPr>
        <w:t>4.65 Branch Consolidation</w:t>
      </w:r>
    </w:p>
    <w:p w14:paraId="6A2883F2" w14:textId="77777777" w:rsidR="007603F6" w:rsidRPr="00796D5E" w:rsidRDefault="00000000" w:rsidP="00796D5E">
      <w:pPr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This section helps manage the success of branch mergers and tracks patient nomination changes.</w:t>
      </w:r>
    </w:p>
    <w:p w14:paraId="2F5ABA39" w14:textId="77777777" w:rsidR="007603F6" w:rsidRPr="00796D5E" w:rsidRDefault="00000000" w:rsidP="00796D5E">
      <w:pPr>
        <w:pStyle w:val="ListBullet"/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Key Features:</w:t>
      </w:r>
    </w:p>
    <w:p w14:paraId="46A6F858" w14:textId="77777777" w:rsidR="007603F6" w:rsidRPr="00796D5E" w:rsidRDefault="00000000" w:rsidP="00796D5E">
      <w:pPr>
        <w:pStyle w:val="ListBullet"/>
        <w:spacing w:after="0"/>
        <w:rPr>
          <w:rFonts w:ascii="Calibri" w:hAnsi="Calibri" w:cs="Calibri"/>
        </w:rPr>
      </w:pPr>
      <w:r w:rsidRPr="00796D5E">
        <w:rPr>
          <w:rFonts w:ascii="Calibri" w:hAnsi="Calibri" w:cs="Calibri"/>
        </w:rPr>
        <w:t>• Tracks returned scripts to identify patients who may have changed nominations</w:t>
      </w:r>
    </w:p>
    <w:sectPr w:rsidR="007603F6" w:rsidRPr="00796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774332">
    <w:abstractNumId w:val="8"/>
  </w:num>
  <w:num w:numId="2" w16cid:durableId="1811550773">
    <w:abstractNumId w:val="6"/>
  </w:num>
  <w:num w:numId="3" w16cid:durableId="1849951486">
    <w:abstractNumId w:val="5"/>
  </w:num>
  <w:num w:numId="4" w16cid:durableId="1980573819">
    <w:abstractNumId w:val="4"/>
  </w:num>
  <w:num w:numId="5" w16cid:durableId="1736658773">
    <w:abstractNumId w:val="7"/>
  </w:num>
  <w:num w:numId="6" w16cid:durableId="986932727">
    <w:abstractNumId w:val="3"/>
  </w:num>
  <w:num w:numId="7" w16cid:durableId="1404522149">
    <w:abstractNumId w:val="2"/>
  </w:num>
  <w:num w:numId="8" w16cid:durableId="1729567245">
    <w:abstractNumId w:val="1"/>
  </w:num>
  <w:num w:numId="9" w16cid:durableId="20625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3F6"/>
    <w:rsid w:val="00796D5E"/>
    <w:rsid w:val="007D7613"/>
    <w:rsid w:val="00891677"/>
    <w:rsid w:val="008E49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A1BDA"/>
  <w14:defaultImageDpi w14:val="300"/>
  <w15:docId w15:val="{553661B6-3F95-4D91-BFE5-94189FC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B928C6-DB63-4381-8438-FE3CC0457246}"/>
</file>

<file path=customXml/itemProps3.xml><?xml version="1.0" encoding="utf-8"?>
<ds:datastoreItem xmlns:ds="http://schemas.openxmlformats.org/officeDocument/2006/customXml" ds:itemID="{57884C76-0E01-4151-A260-8B126B641A56}"/>
</file>

<file path=customXml/itemProps4.xml><?xml version="1.0" encoding="utf-8"?>
<ds:datastoreItem xmlns:ds="http://schemas.openxmlformats.org/officeDocument/2006/customXml" ds:itemID="{1EC283CB-18FC-4974-9EED-F5623FD984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4</cp:revision>
  <dcterms:created xsi:type="dcterms:W3CDTF">2013-12-23T23:15:00Z</dcterms:created>
  <dcterms:modified xsi:type="dcterms:W3CDTF">2025-09-10T09:45:00Z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