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5B4FE9"/>
          <w:spacing w:val="60"/>
          <w:sz w:val="22"/>
          <w:szCs w:val="22"/>
        </w:rPr>
        <w:t xml:space="preserve">PRODUCT REQUIREMENTS DOCUMENT</w:t>
      </w:r>
    </w:p>
    <w:p>
      <w:pPr>
        <w:spacing w:after="0" w:before="200"/>
      </w:pPr>
      <w:r>
        <w:rPr>
          <w:b/>
          <w:bCs/>
          <w:color w:val="1A1A2E"/>
          <w:sz w:val="90"/>
          <w:szCs w:val="90"/>
        </w:rPr>
        <w:t xml:space="preserve">Tilly</w:t>
      </w:r>
    </w:p>
    <w:p>
      <w:pPr>
        <w:spacing w:after="0" w:before="60"/>
      </w:pPr>
      <w:r>
        <w:rPr>
          <w:i/>
          <w:iCs/>
          <w:color w:val="6B6B7B"/>
          <w:sz w:val="32"/>
          <w:szCs w:val="32"/>
        </w:rPr>
        <w:t xml:space="preserve">Your money coach in your pocket.</w:t>
      </w:r>
    </w:p>
    <w:p>
      <w:pPr>
        <w:pBdr>
          <w:bottom w:val="single" w:color="00C2A8" w:sz="12" w:space="8"/>
        </w:pBdr>
        <w:spacing w:after="0" w:before="40"/>
      </w:pPr>
      <w:r>
        <w:t xml:space="preserve"/>
      </w:r>
    </w:p>
    <w:p>
      <w:pPr>
        <w:spacing w:after="0" w:before="500"/>
      </w:pPr>
      <w:r>
        <w:rPr>
          <w:color w:val="1A1A2E"/>
          <w:sz w:val="26"/>
          <w:szCs w:val="26"/>
        </w:rPr>
        <w:t xml:space="preserve">An AI money coach that connects to your real bank accounts, tells you what you can and can't afford in plain English, spots your spending habits, and shows you exactly where to save.</w:t>
      </w:r>
    </w:p>
    <w:p>
      <w:pPr>
        <w:spacing w:after="0" w:before="700"/>
      </w:pPr>
      <w:r>
        <w:rPr>
          <w:color w:val="6B6B7B"/>
          <w:sz w:val="20"/>
          <w:szCs w:val="20"/>
        </w:rPr>
        <w:t xml:space="preserve">Working title: Tilly  (placeholder, see naming note)</w:t>
      </w:r>
    </w:p>
    <w:p>
      <w:pPr>
        <w:spacing w:after="0" w:before="40"/>
      </w:pPr>
      <w:r>
        <w:rPr>
          <w:color w:val="6B6B7B"/>
          <w:sz w:val="20"/>
          <w:szCs w:val="20"/>
        </w:rPr>
        <w:t xml:space="preserve">Version 0.1  ·  Draft  ·  June 2026</w:t>
      </w:r>
    </w:p>
    <w:p>
      <w:pPr>
        <w:spacing w:after="0" w:before="40"/>
      </w:pPr>
      <w:r>
        <w:rPr>
          <w:color w:val="6B6B7B"/>
          <w:sz w:val="20"/>
          <w:szCs w:val="20"/>
        </w:rPr>
        <w:t xml:space="preserve">Owner: Sam O'Higgins  ·  SquareTwo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40" w:line="276"/>
      </w:pPr>
      <w:r>
        <w:rPr>
          <w:color w:val="1A1A2E"/>
        </w:rPr>
        <w:t xml:space="preserve">Tilly is a mobile-first AI money coach. The user links their real bank accounts (Revolut plus their main pillar bank) through secure Open Banking, then talks to Tilly the way they'd text a financially-clever friend. Tilly always knows the real numbers, so when you ask "can I afford this concert ticket right now?" the answer is grounded in your actual balance, your upcoming bills, and your spending patterns, not a guess.</w:t>
      </w:r>
    </w:p>
    <w:p>
      <w:pPr>
        <w:spacing w:after="140" w:line="276"/>
      </w:pPr>
      <w:r>
        <w:rPr>
          <w:color w:val="1A1A2E"/>
        </w:rPr>
        <w:t xml:space="preserve">The tone is fun, casual and human. The technology underneath is serious: deterministic financial logic for anything involving money, with the LLM handling conversation, explanation and the smart, slightly cheeky nudges ("you could skip the Mon-to-Fri coffee and bank an extra 60 quid a month"). It should feel like a premium, modern fintech product, not a budgeting spreadsheet with a chatbot bolted on.</w:t>
      </w:r>
    </w:p>
    <w:p>
      <w:pPr>
        <w:pStyle w:val="Heading2"/>
      </w:pPr>
      <w:r>
        <w:t xml:space="preserve">The one-liner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4FE9" w:sz="18"/>
              <w:bottom w:val="none"/>
              <w:right w:val="none"/>
            </w:tcBorders>
            <w:shd w:fill="F5F6FB" w:val="clear"/>
            <w:tcMar>
              <w:top w:type="dxa" w:w="130"/>
              <w:left w:type="dxa" w:w="200"/>
              <w:bottom w:type="dxa" w:w="130"/>
              <w:right w:type="dxa" w:w="160"/>
            </w:tcMar>
          </w:tcPr>
          <w:p>
            <w:pPr>
              <w:spacing w:after="40"/>
            </w:pPr>
            <w:r>
              <w:rPr>
                <w:b/>
                <w:bCs/>
                <w:color w:val="5B4FE9"/>
                <w:sz w:val="18"/>
                <w:szCs w:val="18"/>
              </w:rPr>
              <w:t xml:space="preserve">Tilly</w:t>
            </w:r>
          </w:p>
          <w:p>
            <w:r>
              <w:rPr>
                <w:i/>
                <w:iCs/>
                <w:color w:val="1A1A2E"/>
                <w:sz w:val="22"/>
                <w:szCs w:val="22"/>
              </w:rPr>
              <w:t xml:space="preserve">You've got 240 to play with before payday. The 180 ticket is fine, but rent's still due on the 28th, so you'll be tight after. Want me to set a reminder?</w:t>
            </w:r>
          </w:p>
        </w:tc>
      </w:tr>
    </w:tbl>
    <w:p>
      <w:pPr>
        <w:spacing w:after="80"/>
      </w:pPr>
      <w:r>
        <w:t xml:space="preserve"/>
      </w:r>
    </w:p>
    <w:p>
      <w:pPr>
        <w:pStyle w:val="Heading2"/>
      </w:pPr>
      <w:r>
        <w:t xml:space="preserve">Why it's different</w:t>
      </w:r>
    </w:p>
    <w:p>
      <w:pPr>
        <w:spacing w:after="80" w:line="276"/>
      </w:pPr>
      <w:r>
        <w:rPr>
          <w:color w:val="1A1A2E"/>
        </w:rPr>
        <w:t xml:space="preserve">Every bank app shows you what you have right now. Tilly tells you what you'll actually have, projected forward, across all your accounts at once, and turns that into a clear yes / no / careful with a reason attached. The personality makes it sticky; the cross-account forward projection makes it genuinely useful.</w:t>
      </w:r>
    </w:p>
    <w:p>
      <w:pPr>
        <w:pBdr>
          <w:bottom w:val="single" w:color="5B4FE9" w:sz="6" w:space="1"/>
        </w:pBdr>
        <w:spacing w:after="160" w:before="60"/>
      </w:pPr>
      <w:r>
        <w:t xml:space="preserve"/>
      </w:r>
    </w:p>
    <w:p>
      <w:pPr>
        <w:pStyle w:val="Heading1"/>
      </w:pPr>
      <w:r>
        <w:t xml:space="preserve">2. Goals and non-goals</w:t>
      </w:r>
    </w:p>
    <w:p>
      <w:pPr>
        <w:pStyle w:val="Heading2"/>
      </w:pPr>
      <w:r>
        <w:t xml:space="preserve">Goals</w:t>
      </w:r>
    </w:p>
    <w:p>
      <w:pPr>
        <w:pStyle w:val="ListParagraph"/>
        <w:numPr>
          <w:ilvl w:val="0"/>
          <w:numId w:val="2"/>
        </w:numPr>
        <w:spacing w:after="70" w:line="270"/>
      </w:pPr>
      <w:r>
        <w:rPr>
          <w:color w:val="1A1A2E"/>
        </w:rPr>
        <w:t xml:space="preserve">Give an honest, instant answer to "can I afford X" grounded in real account data.</w:t>
      </w:r>
    </w:p>
    <w:p>
      <w:pPr>
        <w:pStyle w:val="ListParagraph"/>
        <w:numPr>
          <w:ilvl w:val="0"/>
          <w:numId w:val="2"/>
        </w:numPr>
        <w:spacing w:after="70" w:line="270"/>
      </w:pPr>
      <w:r>
        <w:rPr>
          <w:color w:val="1A1A2E"/>
        </w:rPr>
        <w:t xml:space="preserve">Surface spending habits the user hasn't noticed, with specific, named examples (not vague "reduce discretionary spend").</w:t>
      </w:r>
    </w:p>
    <w:p>
      <w:pPr>
        <w:pStyle w:val="ListParagraph"/>
        <w:numPr>
          <w:ilvl w:val="0"/>
          <w:numId w:val="2"/>
        </w:numPr>
        <w:spacing w:after="70" w:line="270"/>
      </w:pPr>
      <w:r>
        <w:rPr>
          <w:color w:val="1A1A2E"/>
        </w:rPr>
        <w:t xml:space="preserve">Recommend concrete, achievable savings the user can act on in one tap.</w:t>
      </w:r>
    </w:p>
    <w:p>
      <w:pPr>
        <w:pStyle w:val="ListParagraph"/>
        <w:numPr>
          <w:ilvl w:val="0"/>
          <w:numId w:val="2"/>
        </w:numPr>
        <w:spacing w:after="70" w:line="270"/>
      </w:pPr>
      <w:r>
        <w:rPr>
          <w:color w:val="1A1A2E"/>
        </w:rPr>
        <w:t xml:space="preserve">Feel like a friend, not a bank. Casual, warm, occasionally funny, never preachy or shaming.</w:t>
      </w:r>
    </w:p>
    <w:p>
      <w:pPr>
        <w:pStyle w:val="ListParagraph"/>
        <w:numPr>
          <w:ilvl w:val="0"/>
          <w:numId w:val="2"/>
        </w:numPr>
        <w:spacing w:after="70" w:line="270"/>
      </w:pPr>
      <w:r>
        <w:rPr>
          <w:color w:val="1A1A2E"/>
        </w:rPr>
        <w:t xml:space="preserve">Earn trust through accuracy. Every number Tilly states is correct, every time.</w:t>
      </w:r>
    </w:p>
    <w:p>
      <w:pPr>
        <w:pStyle w:val="Heading2"/>
      </w:pPr>
      <w:r>
        <w:t xml:space="preserve">Non-goals (for v1)</w:t>
      </w:r>
    </w:p>
    <w:p>
      <w:pPr>
        <w:pStyle w:val="ListParagraph"/>
        <w:numPr>
          <w:ilvl w:val="0"/>
          <w:numId w:val="2"/>
        </w:numPr>
        <w:spacing w:after="70" w:line="270"/>
      </w:pPr>
      <w:r>
        <w:rPr>
          <w:color w:val="1A1A2E"/>
        </w:rPr>
        <w:t xml:space="preserve">Moving money. Tilly is read-only. No payments, no transfers (that needs a separate licence and a lot more risk).</w:t>
      </w:r>
    </w:p>
    <w:p>
      <w:pPr>
        <w:pStyle w:val="ListParagraph"/>
        <w:numPr>
          <w:ilvl w:val="0"/>
          <w:numId w:val="2"/>
        </w:numPr>
        <w:spacing w:after="70" w:line="270"/>
      </w:pPr>
      <w:r>
        <w:rPr>
          <w:color w:val="1A1A2E"/>
        </w:rPr>
        <w:t xml:space="preserve">Full budgeting envelopes / zero-based budgeting. We are a coach, not a ledger.</w:t>
      </w:r>
    </w:p>
    <w:p>
      <w:pPr>
        <w:pStyle w:val="ListParagraph"/>
        <w:numPr>
          <w:ilvl w:val="0"/>
          <w:numId w:val="2"/>
        </w:numPr>
        <w:spacing w:after="70" w:line="270"/>
      </w:pPr>
      <w:r>
        <w:rPr>
          <w:color w:val="1A1A2E"/>
        </w:rPr>
        <w:t xml:space="preserve">Investment or tax advice. Out of scope and regulated.</w:t>
      </w:r>
    </w:p>
    <w:p>
      <w:pPr>
        <w:pStyle w:val="ListParagraph"/>
        <w:numPr>
          <w:ilvl w:val="0"/>
          <w:numId w:val="2"/>
        </w:numPr>
        <w:spacing w:after="70" w:line="270"/>
      </w:pPr>
      <w:r>
        <w:rPr>
          <w:color w:val="1A1A2E"/>
        </w:rPr>
        <w:t xml:space="preserve">Business accounts. Consumer only at launch.</w:t>
      </w:r>
    </w:p>
    <w:p>
      <w:pPr>
        <w:pBdr>
          <w:bottom w:val="single" w:color="5B4FE9" w:sz="6" w:space="1"/>
        </w:pBdr>
        <w:spacing w:after="160" w:before="60"/>
      </w:pPr>
      <w:r>
        <w:t xml:space="preserve"/>
      </w:r>
    </w:p>
    <w:p>
      <w:pPr>
        <w:pStyle w:val="Heading1"/>
      </w:pPr>
      <w:r>
        <w:t xml:space="preserve">3. Target user</w:t>
      </w:r>
    </w:p>
    <w:p>
      <w:pPr>
        <w:spacing w:after="140" w:line="276"/>
      </w:pPr>
      <w:r>
        <w:rPr>
          <w:color w:val="1A1A2E"/>
        </w:rPr>
        <w:t xml:space="preserve">Primary: Irish (then UK/EU) 22 to 38 year olds who are Revolut-first but also hold a pillar bank account (Bank of Ireland, AIB). They earn enough to spend freely but have little visibility into whether they're actually okay month to month. They find traditional budgeting apps boring and abandon them. They live in chat.</w:t>
      </w:r>
    </w:p>
    <w:p>
      <w:pPr>
        <w:pStyle w:val="Heading3"/>
      </w:pPr>
      <w:r>
        <w:t xml:space="preserve">Primary persona: "Aoife, 27"</w:t>
      </w:r>
    </w:p>
    <w:p>
      <w:pPr>
        <w:pStyle w:val="ListParagraph"/>
        <w:numPr>
          <w:ilvl w:val="0"/>
          <w:numId w:val="2"/>
        </w:numPr>
        <w:spacing w:after="70" w:line="270"/>
      </w:pPr>
      <w:r>
        <w:rPr>
          <w:color w:val="1A1A2E"/>
        </w:rPr>
        <w:t xml:space="preserve">Salary hits her BOI account, daily spending happens on Revolut.</w:t>
      </w:r>
    </w:p>
    <w:p>
      <w:pPr>
        <w:pStyle w:val="ListParagraph"/>
        <w:numPr>
          <w:ilvl w:val="0"/>
          <w:numId w:val="2"/>
        </w:numPr>
        <w:spacing w:after="70" w:line="270"/>
      </w:pPr>
      <w:r>
        <w:rPr>
          <w:color w:val="1A1A2E"/>
        </w:rPr>
        <w:t xml:space="preserve">Has no idea where her money goes; checks her balance and hopes.</w:t>
      </w:r>
    </w:p>
    <w:p>
      <w:pPr>
        <w:pStyle w:val="ListParagraph"/>
        <w:numPr>
          <w:ilvl w:val="0"/>
          <w:numId w:val="2"/>
        </w:numPr>
        <w:spacing w:after="70" w:line="270"/>
      </w:pPr>
      <w:r>
        <w:rPr>
          <w:color w:val="1A1A2E"/>
        </w:rPr>
        <w:t xml:space="preserve">Tried two budgeting apps, gave up within a week because logging was tedious.</w:t>
      </w:r>
    </w:p>
    <w:p>
      <w:pPr>
        <w:pStyle w:val="ListParagraph"/>
        <w:numPr>
          <w:ilvl w:val="0"/>
          <w:numId w:val="2"/>
        </w:numPr>
        <w:spacing w:after="70" w:line="270"/>
      </w:pPr>
      <w:r>
        <w:rPr>
          <w:color w:val="1A1A2E"/>
        </w:rPr>
        <w:t xml:space="preserve">Wants someone to just tell her, honestly and quickly, if she's fine.</w:t>
      </w:r>
    </w:p>
    <w:p>
      <w:pPr>
        <w:pBdr>
          <w:bottom w:val="single" w:color="5B4FE9" w:sz="6" w:space="1"/>
        </w:pBdr>
        <w:spacing w:after="160" w:before="60"/>
      </w:pPr>
      <w:r>
        <w:t xml:space="preserve"/>
      </w:r>
    </w:p>
    <w:p>
      <w:pPr>
        <w:pStyle w:val="Heading1"/>
      </w:pPr>
      <w:r>
        <w:t xml:space="preserve">4. Core experience</w:t>
      </w:r>
    </w:p>
    <w:p>
      <w:pPr>
        <w:spacing w:after="140" w:line="276"/>
      </w:pPr>
      <w:r>
        <w:rPr>
          <w:color w:val="1A1A2E"/>
        </w:rPr>
        <w:t xml:space="preserve">The whole product is one conversation. There are screens and views, but the chat is the centre of gravity. Three things power it:</w:t>
      </w:r>
    </w:p>
    <w:p>
      <w:pPr>
        <w:pStyle w:val="Heading2"/>
      </w:pPr>
      <w:r>
        <w:t xml:space="preserve">4.1  The conversation</w:t>
      </w:r>
    </w:p>
    <w:p>
      <w:pPr>
        <w:spacing w:after="140" w:line="276"/>
      </w:pPr>
      <w:r>
        <w:rPr>
          <w:color w:val="1A1A2E"/>
        </w:rPr>
        <w:t xml:space="preserve">The home screen is a chat with Tilly. The user can ask anything in natural language and Tilly answers using their live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0C2A8" w:sz="18"/>
              <w:bottom w:val="none"/>
              <w:right w:val="none"/>
            </w:tcBorders>
            <w:shd w:fill="F5F6FB" w:val="clear"/>
            <w:tcMar>
              <w:top w:type="dxa" w:w="130"/>
              <w:left w:type="dxa" w:w="200"/>
              <w:bottom w:type="dxa" w:w="130"/>
              <w:right w:type="dxa" w:w="160"/>
            </w:tcMar>
          </w:tcPr>
          <w:p>
            <w:pPr>
              <w:spacing w:after="40"/>
            </w:pPr>
            <w:r>
              <w:rPr>
                <w:b/>
                <w:bCs/>
                <w:color w:val="00C2A8"/>
                <w:sz w:val="18"/>
                <w:szCs w:val="18"/>
              </w:rPr>
              <w:t xml:space="preserve">You</w:t>
            </w:r>
          </w:p>
          <w:p>
            <w:r>
              <w:rPr>
                <w:i/>
                <w:iCs/>
                <w:color w:val="1A1A2E"/>
                <w:sz w:val="22"/>
                <w:szCs w:val="22"/>
              </w:rPr>
              <w:t xml:space="preserve">can i afford a 90 night out saturday?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4FE9" w:sz="18"/>
              <w:bottom w:val="none"/>
              <w:right w:val="none"/>
            </w:tcBorders>
            <w:shd w:fill="F5F6FB" w:val="clear"/>
            <w:tcMar>
              <w:top w:type="dxa" w:w="130"/>
              <w:left w:type="dxa" w:w="200"/>
              <w:bottom w:type="dxa" w:w="130"/>
              <w:right w:type="dxa" w:w="160"/>
            </w:tcMar>
          </w:tcPr>
          <w:p>
            <w:pPr>
              <w:spacing w:after="40"/>
            </w:pPr>
            <w:r>
              <w:rPr>
                <w:b/>
                <w:bCs/>
                <w:color w:val="5B4FE9"/>
                <w:sz w:val="18"/>
                <w:szCs w:val="18"/>
              </w:rPr>
              <w:t xml:space="preserve">Tilly</w:t>
            </w:r>
          </w:p>
          <w:p>
            <w:r>
              <w:rPr>
                <w:i/>
                <w:iCs/>
                <w:color w:val="1A1A2E"/>
                <w:sz w:val="22"/>
                <w:szCs w:val="22"/>
              </w:rPr>
              <w:t xml:space="preserve">Yeah, you're grand. After Saturday you'd still have about 310 to last 11 days, which is above your usual safe line. Just don't let it turn into a 200 night, future-you has rent on the 28th. Enjoy 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0C2A8" w:sz="18"/>
              <w:bottom w:val="none"/>
              <w:right w:val="none"/>
            </w:tcBorders>
            <w:shd w:fill="F5F6FB" w:val="clear"/>
            <w:tcMar>
              <w:top w:type="dxa" w:w="130"/>
              <w:left w:type="dxa" w:w="200"/>
              <w:bottom w:type="dxa" w:w="130"/>
              <w:right w:type="dxa" w:w="160"/>
            </w:tcMar>
          </w:tcPr>
          <w:p>
            <w:pPr>
              <w:spacing w:after="40"/>
            </w:pPr>
            <w:r>
              <w:rPr>
                <w:b/>
                <w:bCs/>
                <w:color w:val="00C2A8"/>
                <w:sz w:val="18"/>
                <w:szCs w:val="18"/>
              </w:rPr>
              <w:t xml:space="preserve">You</w:t>
            </w:r>
          </w:p>
          <w:p>
            <w:r>
              <w:rPr>
                <w:i/>
                <w:iCs/>
                <w:color w:val="1A1A2E"/>
                <w:sz w:val="22"/>
                <w:szCs w:val="22"/>
              </w:rPr>
              <w:t xml:space="preserve">how much do i spend on coffee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4FE9" w:sz="18"/>
              <w:bottom w:val="none"/>
              <w:right w:val="none"/>
            </w:tcBorders>
            <w:shd w:fill="F5F6FB" w:val="clear"/>
            <w:tcMar>
              <w:top w:type="dxa" w:w="130"/>
              <w:left w:type="dxa" w:w="200"/>
              <w:bottom w:type="dxa" w:w="130"/>
              <w:right w:type="dxa" w:w="160"/>
            </w:tcMar>
          </w:tcPr>
          <w:p>
            <w:pPr>
              <w:spacing w:after="40"/>
            </w:pPr>
            <w:r>
              <w:rPr>
                <w:b/>
                <w:bCs/>
                <w:color w:val="5B4FE9"/>
                <w:sz w:val="18"/>
                <w:szCs w:val="18"/>
              </w:rPr>
              <w:t xml:space="preserve">Tilly</w:t>
            </w:r>
          </w:p>
          <w:p>
            <w:r>
              <w:rPr>
                <w:i/>
                <w:iCs/>
                <w:color w:val="1A1A2E"/>
                <w:sz w:val="22"/>
                <w:szCs w:val="22"/>
              </w:rPr>
              <w:t xml:space="preserve">More than you'd think. You bought coffee 19 times last month, basically every weekday, averaging 3.80 a pop. That's 72 a month, or about 860 a year. Cutting it to twice a week would save you ~46 a month. Not saying stop, just... noticed.</w:t>
            </w:r>
          </w:p>
        </w:tc>
      </w:tr>
    </w:tbl>
    <w:p>
      <w:pPr>
        <w:spacing w:after="80"/>
      </w:pPr>
      <w:r>
        <w:t xml:space="preserve"/>
      </w:r>
    </w:p>
    <w:p>
      <w:pPr>
        <w:pStyle w:val="Heading2"/>
      </w:pPr>
      <w:r>
        <w:t xml:space="preserve">4.2  Proactive nudges</w:t>
      </w:r>
    </w:p>
    <w:p>
      <w:pPr>
        <w:spacing w:after="140" w:line="276"/>
      </w:pPr>
      <w:r>
        <w:rPr>
          <w:color w:val="1A1A2E"/>
        </w:rPr>
        <w:t xml:space="preserve">Tilly doesn't just wait to be asked. She messages first when something matters:</w:t>
      </w:r>
    </w:p>
    <w:p>
      <w:pPr>
        <w:pStyle w:val="ListParagraph"/>
        <w:numPr>
          <w:ilvl w:val="0"/>
          <w:numId w:val="2"/>
        </w:numPr>
        <w:spacing w:after="70" w:line="270"/>
      </w:pPr>
      <w:r>
        <w:rPr>
          <w:color w:val="1A1A2E"/>
        </w:rPr>
        <w:t xml:space="preserve">"Heads up, your 89 Three bill goes out tomorrow. You'll have 41 spare after it."</w:t>
      </w:r>
    </w:p>
    <w:p>
      <w:pPr>
        <w:pStyle w:val="ListParagraph"/>
        <w:numPr>
          <w:ilvl w:val="0"/>
          <w:numId w:val="2"/>
        </w:numPr>
        <w:spacing w:after="70" w:line="270"/>
      </w:pPr>
      <w:r>
        <w:rPr>
          <w:color w:val="1A1A2E"/>
        </w:rPr>
        <w:t xml:space="preserve">"Spotify just went up from 9.99 to 11.99. Worth it?"</w:t>
      </w:r>
    </w:p>
    <w:p>
      <w:pPr>
        <w:pStyle w:val="ListParagraph"/>
        <w:numPr>
          <w:ilvl w:val="0"/>
          <w:numId w:val="2"/>
        </w:numPr>
        <w:spacing w:after="70" w:line="270"/>
      </w:pPr>
      <w:r>
        <w:rPr>
          <w:color w:val="1A1A2E"/>
        </w:rPr>
        <w:t xml:space="preserve">"You're spending about 30% faster than usual this month. At this rate you'd run out 4 days before payday."</w:t>
      </w:r>
    </w:p>
    <w:p>
      <w:pPr>
        <w:spacing w:after="80" w:line="276"/>
      </w:pPr>
      <w:r>
        <w:rPr>
          <w:color w:val="1A1A2E"/>
        </w:rPr>
        <w:t xml:space="preserve">Nudges are the difference between a tool you forget and a coach that has your back. They are also the spine of the premium tier.</w:t>
      </w:r>
    </w:p>
    <w:p>
      <w:pPr>
        <w:pStyle w:val="Heading2"/>
      </w:pPr>
      <w:r>
        <w:t xml:space="preserve">4.3  The weekly check-in</w:t>
      </w:r>
    </w:p>
    <w:p>
      <w:pPr>
        <w:spacing w:after="140" w:line="276"/>
      </w:pPr>
      <w:r>
        <w:rPr>
          <w:color w:val="1A1A2E"/>
        </w:rPr>
        <w:t xml:space="preserve">Once a week Tilly sends a short, friendly recap: what you spent, what stood out, one habit worth changing, and one win to feel good about. Casual, scannable, never a wall of numbers.</w:t>
      </w:r>
    </w:p>
    <w:p>
      <w:pPr>
        <w:pBdr>
          <w:bottom w:val="single" w:color="5B4FE9" w:sz="6" w:space="1"/>
        </w:pBdr>
        <w:spacing w:after="160" w:before="60"/>
      </w:pPr>
      <w:r>
        <w:t xml:space="preserve"/>
      </w:r>
    </w:p>
    <w:p>
      <w:pPr>
        <w:pStyle w:val="Heading1"/>
      </w:pPr>
      <w:r>
        <w:t xml:space="preserve">5. Feature set</w:t>
      </w:r>
    </w:p>
    <w:p>
      <w:pPr>
        <w:spacing w:after="140" w:line="276"/>
      </w:pPr>
      <w:r>
        <w:rPr>
          <w:color w:val="1A1A2E"/>
        </w:rPr>
        <w:t xml:space="preserve">Grouped by release. v1 is the minimum that feels magic; later phases add the moat and the premium hooks.</w:t>
      </w:r>
    </w:p>
    <w:p>
      <w:pPr>
        <w:pStyle w:val="Heading2"/>
      </w:pPr>
      <w:r>
        <w:t xml:space="preserve">5.1  v1  (the magic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Feature</w:t>
            </w:r>
          </w:p>
        </w:tc>
        <w:tc>
          <w:tcPr>
            <w:tcW w:type="dxa" w:w="676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What it does</w:t>
            </w:r>
          </w:p>
        </w:tc>
      </w:tr>
      <w:tr>
        <w:tc>
          <w:tcPr>
            <w:tcW w:type="dxa" w:w="26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Account linking</w:t>
            </w:r>
          </w:p>
        </w:tc>
        <w:tc>
          <w:tcPr>
            <w:tcW w:type="dxa" w:w="676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Connect Revolut + pillar bank via Open Banking. Read-only.</w:t>
            </w:r>
          </w:p>
        </w:tc>
      </w:tr>
      <w:tr>
        <w:tc>
          <w:tcPr>
            <w:tcW w:type="dxa" w:w="26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Can I afford X</w:t>
            </w:r>
          </w:p>
        </w:tc>
        <w:tc>
          <w:tcPr>
            <w:tcW w:type="dxa" w:w="676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Instant yes / no / careful, grounded in live cross-account balance and upcoming bills.</w:t>
            </w:r>
          </w:p>
        </w:tc>
      </w:tr>
      <w:tr>
        <w:tc>
          <w:tcPr>
            <w:tcW w:type="dxa" w:w="26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Safe-to-Spend</w:t>
            </w:r>
          </w:p>
        </w:tc>
        <w:tc>
          <w:tcPr>
            <w:tcW w:type="dxa" w:w="676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A single honest number: what's truly free to spend before the next payday, after committed outgoings and a buffer.</w:t>
            </w:r>
          </w:p>
        </w:tc>
      </w:tr>
      <w:tr>
        <w:tc>
          <w:tcPr>
            <w:tcW w:type="dxa" w:w="26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Habit spotting</w:t>
            </w:r>
          </w:p>
        </w:tc>
        <w:tc>
          <w:tcPr>
            <w:tcW w:type="dxa" w:w="676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Detects recurring spend (coffee, takeaways, subscriptions) and surfaces it with named, specific examples.</w:t>
            </w:r>
          </w:p>
        </w:tc>
      </w:tr>
      <w:tr>
        <w:tc>
          <w:tcPr>
            <w:tcW w:type="dxa" w:w="26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Conversational chat</w:t>
            </w:r>
          </w:p>
        </w:tc>
        <w:tc>
          <w:tcPr>
            <w:tcW w:type="dxa" w:w="676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Ask anything about your money in plain English.</w:t>
            </w:r>
          </w:p>
        </w:tc>
      </w:tr>
      <w:tr>
        <w:tc>
          <w:tcPr>
            <w:tcW w:type="dxa" w:w="26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Weekly check-in</w:t>
            </w:r>
          </w:p>
        </w:tc>
        <w:tc>
          <w:tcPr>
            <w:tcW w:type="dxa" w:w="676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Friendly recap with one habit tip and one win.</w:t>
            </w:r>
          </w:p>
        </w:tc>
      </w:tr>
    </w:tbl>
    <w:p>
      <w:pPr>
        <w:pStyle w:val="Heading2"/>
      </w:pPr>
      <w:r>
        <w:t xml:space="preserve">5.2  v2  (the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Feature</w:t>
            </w:r>
          </w:p>
        </w:tc>
        <w:tc>
          <w:tcPr>
            <w:tcW w:type="dxa" w:w="676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What it does</w:t>
            </w:r>
          </w:p>
        </w:tc>
      </w:tr>
      <w:tr>
        <w:tc>
          <w:tcPr>
            <w:tcW w:type="dxa" w:w="26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Future Safe-to-Spend</w:t>
            </w:r>
          </w:p>
        </w:tc>
        <w:tc>
          <w:tcPr>
            <w:tcW w:type="dxa" w:w="676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Projects your balance forward day by day using detected income + outgoings. Answers "can I afford this AND still make rent on the 28th."</w:t>
            </w:r>
          </w:p>
        </w:tc>
      </w:tr>
      <w:tr>
        <w:tc>
          <w:tcPr>
            <w:tcW w:type="dxa" w:w="26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What-if simulation</w:t>
            </w:r>
          </w:p>
        </w:tc>
        <w:tc>
          <w:tcPr>
            <w:tcW w:type="dxa" w:w="676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"What if I cancel 3 subscriptions?" / "What if I take the 200/mo car loan?" Shows the 3-month impact before you commit.</w:t>
            </w:r>
          </w:p>
        </w:tc>
      </w:tr>
      <w:tr>
        <w:tc>
          <w:tcPr>
            <w:tcW w:type="dxa" w:w="26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Subscription radar</w:t>
            </w:r>
          </w:p>
        </w:tc>
        <w:tc>
          <w:tcPr>
            <w:tcW w:type="dxa" w:w="676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Lists every subscription, flags price rises, duplicates, and trials about to convert.</w:t>
            </w:r>
          </w:p>
        </w:tc>
      </w:tr>
      <w:tr>
        <w:tc>
          <w:tcPr>
            <w:tcW w:type="dxa" w:w="26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Goal tracking</w:t>
            </w:r>
          </w:p>
        </w:tc>
        <w:tc>
          <w:tcPr>
            <w:tcW w:type="dxa" w:w="676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Set a goal (e.g. 2k for a trip). Affordability answers factor it in.</w:t>
            </w:r>
          </w:p>
        </w:tc>
      </w:tr>
      <w:tr>
        <w:tc>
          <w:tcPr>
            <w:tcW w:type="dxa" w:w="26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Smart buffer</w:t>
            </w:r>
          </w:p>
        </w:tc>
        <w:tc>
          <w:tcPr>
            <w:tcW w:type="dxa" w:w="676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Learns each user's real volatility and personalises the safety margin instead of a flat figure.</w:t>
            </w:r>
          </w:p>
        </w:tc>
      </w:tr>
    </w:tbl>
    <w:p>
      <w:pPr>
        <w:pStyle w:val="Heading2"/>
      </w:pPr>
      <w:r>
        <w:t xml:space="preserve">5.3  v3  (premium /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Feature</w:t>
            </w:r>
          </w:p>
        </w:tc>
        <w:tc>
          <w:tcPr>
            <w:tcW w:type="dxa" w:w="676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What it does</w:t>
            </w:r>
          </w:p>
        </w:tc>
      </w:tr>
      <w:tr>
        <w:tc>
          <w:tcPr>
            <w:tcW w:type="dxa" w:w="26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Proactive nudges (rich)</w:t>
            </w:r>
          </w:p>
        </w:tc>
        <w:tc>
          <w:tcPr>
            <w:tcW w:type="dxa" w:w="676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Predictive, personalised alerts that watch your back. Core premium value.</w:t>
            </w:r>
          </w:p>
        </w:tc>
      </w:tr>
      <w:tr>
        <w:tc>
          <w:tcPr>
            <w:tcW w:type="dxa" w:w="26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Couples / shared view</w:t>
            </w:r>
          </w:p>
        </w:tc>
        <w:tc>
          <w:tcPr>
            <w:tcW w:type="dxa" w:w="676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Two people, one combined affordability picture. Underserved by every bank app.</w:t>
            </w:r>
          </w:p>
        </w:tc>
      </w:tr>
      <w:tr>
        <w:tc>
          <w:tcPr>
            <w:tcW w:type="dxa" w:w="26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Natural-language search</w:t>
            </w:r>
          </w:p>
        </w:tc>
        <w:tc>
          <w:tcPr>
            <w:tcW w:type="dxa" w:w="676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"How much did I spend on takeaways in May?" Querying your data conversationally.</w:t>
            </w:r>
          </w:p>
        </w:tc>
      </w:tr>
      <w:tr>
        <w:tc>
          <w:tcPr>
            <w:tcW w:type="dxa" w:w="26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Smart suggestions</w:t>
            </w:r>
          </w:p>
        </w:tc>
        <w:tc>
          <w:tcPr>
            <w:tcW w:type="dxa" w:w="676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Better savings/account/switching ideas (potential affiliate revenue).</w:t>
            </w:r>
          </w:p>
        </w:tc>
      </w:tr>
    </w:tbl>
    <w:p>
      <w:pPr>
        <w:pBdr>
          <w:bottom w:val="single" w:color="5B4FE9" w:sz="6" w:space="1"/>
        </w:pBdr>
        <w:spacing w:after="160" w:before="60"/>
      </w:pPr>
      <w:r>
        <w:t xml:space="preserve"/>
      </w:r>
    </w:p>
    <w:p>
      <w:pPr>
        <w:pStyle w:val="Heading1"/>
      </w:pPr>
      <w:r>
        <w:t xml:space="preserve">6. The personality</w:t>
      </w:r>
    </w:p>
    <w:p>
      <w:pPr>
        <w:spacing w:after="140" w:line="276"/>
      </w:pPr>
      <w:r>
        <w:rPr>
          <w:color w:val="1A1A2E"/>
        </w:rPr>
        <w:t xml:space="preserve">Tilly's voice is the product's main differentiator and the reason people stay. It must be calibrated carefully: fun and casual on the surface, but the user has to trust it with their money, so it can never feel flippant about the actual numbers.</w:t>
      </w:r>
    </w:p>
    <w:p>
      <w:pPr>
        <w:pStyle w:val="Heading2"/>
      </w:pPr>
      <w:r>
        <w:t xml:space="preserve">Voice principles</w:t>
      </w:r>
    </w:p>
    <w:p>
      <w:pPr>
        <w:pStyle w:val="ListParagraph"/>
        <w:numPr>
          <w:ilvl w:val="0"/>
          <w:numId w:val="2"/>
        </w:numPr>
        <w:spacing w:after="70" w:line="270"/>
      </w:pPr>
      <w:r>
        <w:rPr>
          <w:b/>
          <w:bCs/>
          <w:color w:val="1A1A2E"/>
        </w:rPr>
        <w:t xml:space="preserve">Honest, never shaming. </w:t>
      </w:r>
      <w:r>
        <w:rPr>
          <w:color w:val="1A1A2E"/>
        </w:rPr>
        <w:t xml:space="preserve">"You're spending a lot on takeaways" is fine. "You're being irresponsible" is not.</w:t>
      </w:r>
    </w:p>
    <w:p>
      <w:pPr>
        <w:pStyle w:val="ListParagraph"/>
        <w:numPr>
          <w:ilvl w:val="0"/>
          <w:numId w:val="2"/>
        </w:numPr>
        <w:spacing w:after="70" w:line="270"/>
      </w:pPr>
      <w:r>
        <w:rPr>
          <w:b/>
          <w:bCs/>
          <w:color w:val="1A1A2E"/>
        </w:rPr>
        <w:t xml:space="preserve">Specific, never vague. </w:t>
      </w:r>
      <w:r>
        <w:rPr>
          <w:color w:val="1A1A2E"/>
        </w:rPr>
        <w:t xml:space="preserve">Name the exact habit, amount and frequency. "19 coffees, 72 this month" beats "watch your discretionary spend."</w:t>
      </w:r>
    </w:p>
    <w:p>
      <w:pPr>
        <w:pStyle w:val="ListParagraph"/>
        <w:numPr>
          <w:ilvl w:val="0"/>
          <w:numId w:val="2"/>
        </w:numPr>
        <w:spacing w:after="70" w:line="270"/>
      </w:pPr>
      <w:r>
        <w:rPr>
          <w:b/>
          <w:bCs/>
          <w:color w:val="1A1A2E"/>
        </w:rPr>
        <w:t xml:space="preserve">Casual, but precise on numbers. </w:t>
      </w:r>
      <w:r>
        <w:rPr>
          <w:color w:val="1A1A2E"/>
        </w:rPr>
        <w:t xml:space="preserve">Loose, friendly phrasing around hard, correct figures.</w:t>
      </w:r>
    </w:p>
    <w:p>
      <w:pPr>
        <w:pStyle w:val="ListParagraph"/>
        <w:numPr>
          <w:ilvl w:val="0"/>
          <w:numId w:val="2"/>
        </w:numPr>
        <w:spacing w:after="70" w:line="270"/>
      </w:pPr>
      <w:r>
        <w:rPr>
          <w:b/>
          <w:bCs/>
          <w:color w:val="1A1A2E"/>
        </w:rPr>
        <w:t xml:space="preserve">Encouraging, not preachy. </w:t>
      </w:r>
      <w:r>
        <w:rPr>
          <w:color w:val="1A1A2E"/>
        </w:rPr>
        <w:t xml:space="preserve">Celebrate wins. Offer a nudge, then back off. The user is an adult.</w:t>
      </w:r>
    </w:p>
    <w:p>
      <w:pPr>
        <w:pStyle w:val="ListParagraph"/>
        <w:numPr>
          <w:ilvl w:val="0"/>
          <w:numId w:val="2"/>
        </w:numPr>
        <w:spacing w:after="70" w:line="270"/>
      </w:pPr>
      <w:r>
        <w:rPr>
          <w:b/>
          <w:bCs/>
          <w:color w:val="1A1A2E"/>
        </w:rPr>
        <w:t xml:space="preserve">On your side. </w:t>
      </w:r>
      <w:r>
        <w:rPr>
          <w:color w:val="1A1A2E"/>
        </w:rPr>
        <w:t xml:space="preserve">Tilly works for you, not the bank. Always frames things as helping you keep more of your money.</w:t>
      </w:r>
    </w:p>
    <w:p>
      <w:pPr>
        <w:pStyle w:val="Heading2"/>
      </w:pPr>
      <w:r>
        <w:t xml:space="preserve">Tone in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0C2A8" w:sz="18"/>
              <w:bottom w:val="none"/>
              <w:right w:val="none"/>
            </w:tcBorders>
            <w:shd w:fill="F5F6FB" w:val="clear"/>
            <w:tcMar>
              <w:top w:type="dxa" w:w="130"/>
              <w:left w:type="dxa" w:w="200"/>
              <w:bottom w:type="dxa" w:w="130"/>
              <w:right w:type="dxa" w:w="160"/>
            </w:tcMar>
          </w:tcPr>
          <w:p>
            <w:pPr>
              <w:spacing w:after="40"/>
            </w:pPr>
            <w:r>
              <w:rPr>
                <w:b/>
                <w:bCs/>
                <w:color w:val="00C2A8"/>
                <w:sz w:val="18"/>
                <w:szCs w:val="18"/>
              </w:rPr>
              <w:t xml:space="preserve">Brand voice</w:t>
            </w:r>
          </w:p>
          <w:p>
            <w:r>
              <w:rPr>
                <w:i/>
                <w:iCs/>
                <w:color w:val="1A1A2E"/>
                <w:sz w:val="22"/>
                <w:szCs w:val="22"/>
              </w:rPr>
              <w:t xml:space="preserve">A money-smart friend who's honest with you, never makes you feel bad, and somehow always knows the exact number.</w:t>
            </w:r>
          </w:p>
        </w:tc>
      </w:tr>
    </w:tbl>
    <w:p>
      <w:pPr>
        <w:spacing w:after="80"/>
      </w:pPr>
      <w:r>
        <w:t xml:space="preserve"/>
      </w:r>
    </w:p>
    <w:p>
      <w:pPr>
        <w:pBdr>
          <w:bottom w:val="single" w:color="5B4FE9" w:sz="6" w:space="1"/>
        </w:pBdr>
        <w:spacing w:after="160" w:before="60"/>
      </w:pPr>
      <w:r>
        <w:t xml:space="preserve"/>
      </w:r>
    </w:p>
    <w:p>
      <w:pPr>
        <w:pStyle w:val="Heading1"/>
      </w:pPr>
      <w:r>
        <w:t xml:space="preserve">7. How it works (architecture)</w:t>
      </w:r>
    </w:p>
    <w:p>
      <w:pPr>
        <w:spacing w:after="140" w:line="276"/>
      </w:pPr>
      <w:r>
        <w:rPr>
          <w:color w:val="1A1A2E"/>
        </w:rPr>
        <w:t xml:space="preserve">The single most important design decision: the LLM never does the maths. Anything involving money is deterministic code. The LLM handles language and reasoning over outputs the engine has already computed. "The AI told me I could afford rent" must never be a possible bug.</w:t>
      </w:r>
    </w:p>
    <w:p>
      <w:pPr>
        <w:pStyle w:val="Heading2"/>
      </w:pPr>
      <w:r>
        <w:t xml:space="preserve">The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Layer</w:t>
            </w:r>
          </w:p>
        </w:tc>
        <w:tc>
          <w:tcPr>
            <w:tcW w:type="dxa" w:w="330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Source</w:t>
            </w:r>
          </w:p>
        </w:tc>
        <w:tc>
          <w:tcPr>
            <w:tcW w:type="dxa" w:w="386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Role</w:t>
            </w:r>
          </w:p>
        </w:tc>
      </w:tr>
      <w:tr>
        <w:tc>
          <w:tcPr>
            <w:tcW w:type="dxa" w:w="22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Raw data</w:t>
            </w:r>
          </w:p>
        </w:tc>
        <w:tc>
          <w:tcPr>
            <w:tcW w:type="dxa" w:w="33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TrueLayer (Open Banking)</w:t>
            </w:r>
          </w:p>
        </w:tc>
        <w:tc>
          <w:tcPr>
            <w:tcW w:type="dxa" w:w="386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Balances, available funds, transactions across all linked accounts.</w:t>
            </w:r>
          </w:p>
        </w:tc>
      </w:tr>
      <w:tr>
        <w:tc>
          <w:tcPr>
            <w:tcW w:type="dxa" w:w="22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Affordability engine</w:t>
            </w:r>
          </w:p>
        </w:tc>
        <w:tc>
          <w:tcPr>
            <w:tcW w:type="dxa" w:w="33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Your code (deterministic)</w:t>
            </w:r>
          </w:p>
        </w:tc>
        <w:tc>
          <w:tcPr>
            <w:tcW w:type="dxa" w:w="386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Safe-to-Spend, forward projection, the yes/no answer. Pure arithmetic, always exact.</w:t>
            </w:r>
          </w:p>
        </w:tc>
      </w:tr>
      <w:tr>
        <w:tc>
          <w:tcPr>
            <w:tcW w:type="dxa" w:w="22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Pattern detection</w:t>
            </w:r>
          </w:p>
        </w:tc>
        <w:tc>
          <w:tcPr>
            <w:tcW w:type="dxa" w:w="33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Your code + light ML</w:t>
            </w:r>
          </w:p>
        </w:tc>
        <w:tc>
          <w:tcPr>
            <w:tcW w:type="dxa" w:w="386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Recurring bills, subscriptions, spending velocity. Auditable.</w:t>
            </w:r>
          </w:p>
        </w:tc>
      </w:tr>
      <w:tr>
        <w:tc>
          <w:tcPr>
            <w:tcW w:type="dxa" w:w="22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Categorisation</w:t>
            </w:r>
          </w:p>
        </w:tc>
        <w:tc>
          <w:tcPr>
            <w:tcW w:type="dxa" w:w="33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LLM (the fuzzy tail only)</w:t>
            </w:r>
          </w:p>
        </w:tc>
        <w:tc>
          <w:tcPr>
            <w:tcW w:type="dxa" w:w="386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Maps messy merchant strings to categories where the API doesn't.</w:t>
            </w:r>
          </w:p>
        </w:tc>
      </w:tr>
      <w:tr>
        <w:tc>
          <w:tcPr>
            <w:tcW w:type="dxa" w:w="22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Conversation</w:t>
            </w:r>
          </w:p>
        </w:tc>
        <w:tc>
          <w:tcPr>
            <w:tcW w:type="dxa" w:w="33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LLM</w:t>
            </w:r>
          </w:p>
        </w:tc>
        <w:tc>
          <w:tcPr>
            <w:tcW w:type="dxa" w:w="386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Phrases answers, explains the 'why', delivers nudges in Tilly's voice. Reasons over numbers, never computes them.</w:t>
            </w:r>
          </w:p>
        </w:tc>
      </w:tr>
    </w:tbl>
    <w:p>
      <w:pPr>
        <w:pStyle w:val="Heading2"/>
      </w:pPr>
      <w:r>
        <w:t xml:space="preserve">The golden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4FE9" w:sz="18"/>
              <w:bottom w:val="none"/>
              <w:right w:val="none"/>
            </w:tcBorders>
            <w:shd w:fill="F5F6FB" w:val="clear"/>
            <w:tcMar>
              <w:top w:type="dxa" w:w="130"/>
              <w:left w:type="dxa" w:w="200"/>
              <w:bottom w:type="dxa" w:w="130"/>
              <w:right w:type="dxa" w:w="160"/>
            </w:tcMar>
          </w:tcPr>
          <w:p>
            <w:pPr>
              <w:spacing w:after="40"/>
            </w:pPr>
            <w:r>
              <w:rPr>
                <w:b/>
                <w:bCs/>
                <w:color w:val="5B4FE9"/>
                <w:sz w:val="18"/>
                <w:szCs w:val="18"/>
              </w:rPr>
              <w:t xml:space="preserve">Engineering principle</w:t>
            </w:r>
          </w:p>
          <w:p>
            <w:r>
              <w:rPr>
                <w:i/>
                <w:iCs/>
                <w:color w:val="1A1A2E"/>
                <w:sz w:val="22"/>
                <w:szCs w:val="22"/>
              </w:rPr>
              <w:t xml:space="preserve">Numbers come from code. Language comes from the LLM. The LLM is shown the answer; it is never asked to calculate it.</w:t>
            </w:r>
          </w:p>
        </w:tc>
      </w:tr>
    </w:tbl>
    <w:p>
      <w:pPr>
        <w:spacing w:after="80"/>
      </w:pPr>
      <w:r>
        <w:t xml:space="preserve"/>
      </w:r>
    </w:p>
    <w:p>
      <w:pPr>
        <w:pStyle w:val="Heading2"/>
      </w:pPr>
      <w:r>
        <w:t xml:space="preserve">The Safe-to-Spend engine (core logic)</w:t>
      </w:r>
    </w:p>
    <w:p>
      <w:pPr>
        <w:spacing w:after="140" w:line="276"/>
      </w:pPr>
      <w:r>
        <w:rPr>
          <w:color w:val="1A1A2E"/>
        </w:rPr>
        <w:t xml:space="preserve">The deterministic heart of the product, in plain terms:</w:t>
      </w:r>
    </w:p>
    <w:p>
      <w:pPr>
        <w:pStyle w:val="ListParagraph"/>
        <w:numPr>
          <w:ilvl w:val="0"/>
          <w:numId w:val="3"/>
        </w:numPr>
        <w:spacing w:after="70" w:line="270"/>
      </w:pPr>
      <w:r>
        <w:rPr>
          <w:color w:val="1A1A2E"/>
        </w:rPr>
        <w:t xml:space="preserve">Total available = sum of available balances across all linked accounts (Revolut + pillar bank).</w:t>
      </w:r>
    </w:p>
    <w:p>
      <w:pPr>
        <w:pStyle w:val="ListParagraph"/>
        <w:numPr>
          <w:ilvl w:val="0"/>
          <w:numId w:val="3"/>
        </w:numPr>
        <w:spacing w:after="70" w:line="270"/>
      </w:pPr>
      <w:r>
        <w:rPr>
          <w:color w:val="1A1A2E"/>
        </w:rPr>
        <w:t xml:space="preserve">Committed outgoings = detected recurring bills + known upcoming debits before the next income date.</w:t>
      </w:r>
    </w:p>
    <w:p>
      <w:pPr>
        <w:pStyle w:val="ListParagraph"/>
        <w:numPr>
          <w:ilvl w:val="0"/>
          <w:numId w:val="3"/>
        </w:numPr>
        <w:spacing w:after="70" w:line="270"/>
      </w:pPr>
      <w:r>
        <w:rPr>
          <w:color w:val="1A1A2E"/>
        </w:rPr>
        <w:t xml:space="preserve">Safe-to-Spend = Total available − Committed outgoings − personalised buffer.</w:t>
      </w:r>
    </w:p>
    <w:p>
      <w:pPr>
        <w:pStyle w:val="ListParagraph"/>
        <w:numPr>
          <w:ilvl w:val="0"/>
          <w:numId w:val="3"/>
        </w:numPr>
        <w:spacing w:after="70" w:line="270"/>
      </w:pPr>
      <w:r>
        <w:rPr>
          <w:color w:val="1A1A2E"/>
        </w:rPr>
        <w:t xml:space="preserve">Affordability answer = is the requested purchase ≤ Safe-to-Spend? Returns yes / careful / no, plus the reason.</w:t>
      </w:r>
    </w:p>
    <w:p>
      <w:pPr>
        <w:spacing w:after="80" w:line="276"/>
      </w:pPr>
      <w:r>
        <w:rPr>
          <w:color w:val="1A1A2E"/>
        </w:rPr>
        <w:t xml:space="preserve">Future Safe-to-Spend extends this by projecting the balance forward day by day to any date, so Tilly can answer "yes today, but you'd dip to 40 before payday."</w:t>
      </w:r>
    </w:p>
    <w:p>
      <w:pPr>
        <w:pStyle w:val="Heading2"/>
      </w:pPr>
      <w:r>
        <w:t xml:space="preserve">Data quality note: Revolut</w:t>
      </w:r>
    </w:p>
    <w:p>
      <w:pPr>
        <w:spacing w:after="80" w:line="276"/>
      </w:pPr>
      <w:r>
        <w:rPr>
          <w:color w:val="1A1A2E"/>
        </w:rPr>
        <w:t xml:space="preserve">Revolut connections through aggregators tend to return shorter / patchier transaction history than pillar banks. So recurring-bill detection should lean on the pillar bank (where salary and direct debits live) and use Revolut mainly for current liquidity and day-to-day spend. Don't assume symmetric data quality across the two accounts.</w:t>
      </w:r>
    </w:p>
    <w:p>
      <w:pPr>
        <w:pBdr>
          <w:bottom w:val="single" w:color="5B4FE9" w:sz="6" w:space="1"/>
        </w:pBdr>
        <w:spacing w:after="160" w:before="60"/>
      </w:pPr>
      <w:r>
        <w:t xml:space="preserve"/>
      </w:r>
    </w:p>
    <w:p>
      <w:pPr>
        <w:pStyle w:val="Heading1"/>
      </w:pPr>
      <w:r>
        <w:t xml:space="preserve">8.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tblHeader/>
        </w:trPr>
        <w:tc>
          <w:tcPr>
            <w:tcW w:type="dxa" w:w="190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Component</w:t>
            </w:r>
          </w:p>
        </w:tc>
        <w:tc>
          <w:tcPr>
            <w:tcW w:type="dxa" w:w="330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Choice</w:t>
            </w:r>
          </w:p>
        </w:tc>
        <w:tc>
          <w:tcPr>
            <w:tcW w:type="dxa" w:w="416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Notes</w:t>
            </w:r>
          </w:p>
        </w:tc>
      </w:tr>
      <w:tr>
        <w:tc>
          <w:tcPr>
            <w:tcW w:type="dxa" w:w="19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Frontend</w:t>
            </w:r>
          </w:p>
        </w:tc>
        <w:tc>
          <w:tcPr>
            <w:tcW w:type="dxa" w:w="33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Next.js (mobile-first PWA, native later)</w:t>
            </w:r>
          </w:p>
        </w:tc>
        <w:tc>
          <w:tcPr>
            <w:tcW w:type="dxa" w:w="416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Chat-first UI.</w:t>
            </w:r>
          </w:p>
        </w:tc>
      </w:tr>
      <w:tr>
        <w:tc>
          <w:tcPr>
            <w:tcW w:type="dxa" w:w="19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Backend / DB</w:t>
            </w:r>
          </w:p>
        </w:tc>
        <w:tc>
          <w:tcPr>
            <w:tcW w:type="dxa" w:w="33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Supabase</w:t>
            </w:r>
          </w:p>
        </w:tc>
        <w:tc>
          <w:tcPr>
            <w:tcW w:type="dxa" w:w="416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Auth, Postgres, row-level security per user.</w:t>
            </w:r>
          </w:p>
        </w:tc>
      </w:tr>
      <w:tr>
        <w:tc>
          <w:tcPr>
            <w:tcW w:type="dxa" w:w="19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Open Banking</w:t>
            </w:r>
          </w:p>
        </w:tc>
        <w:tc>
          <w:tcPr>
            <w:tcW w:type="dxa" w:w="33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TrueLayer</w:t>
            </w:r>
          </w:p>
        </w:tc>
        <w:tc>
          <w:tcPr>
            <w:tcW w:type="dxa" w:w="416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~95% Irish coverage, Revolut is a named partner. Plaid as fallback.</w:t>
            </w:r>
          </w:p>
        </w:tc>
      </w:tr>
      <w:tr>
        <w:tc>
          <w:tcPr>
            <w:tcW w:type="dxa" w:w="19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LLM</w:t>
            </w:r>
          </w:p>
        </w:tc>
        <w:tc>
          <w:tcPr>
            <w:tcW w:type="dxa" w:w="33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Claude (Sonnet tier for chat)</w:t>
            </w:r>
          </w:p>
        </w:tc>
        <w:tc>
          <w:tcPr>
            <w:tcW w:type="dxa" w:w="416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Conversation, categorisation, nudge phrasing. Cheap at this scale.</w:t>
            </w:r>
          </w:p>
        </w:tc>
      </w:tr>
      <w:tr>
        <w:tc>
          <w:tcPr>
            <w:tcW w:type="dxa" w:w="19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Hosting</w:t>
            </w:r>
          </w:p>
        </w:tc>
        <w:tc>
          <w:tcPr>
            <w:tcW w:type="dxa" w:w="33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Vercel</w:t>
            </w:r>
          </w:p>
        </w:tc>
        <w:tc>
          <w:tcPr>
            <w:tcW w:type="dxa" w:w="416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Standard stack.</w:t>
            </w:r>
          </w:p>
        </w:tc>
      </w:tr>
    </w:tbl>
    <w:p>
      <w:pPr>
        <w:spacing w:after="80" w:line="276"/>
      </w:pPr>
      <w:r>
        <w:rPr>
          <w:color w:val="1A1A2E"/>
        </w:rPr>
        <w:t xml:space="preserve">Open Banking is read-only Account Information (AIS). The aggregator holds the AISP licence, so Tilly does not need its own. Consent under PSD2 typically expires around 90 days, so the app must handle re-authentication gracefully.</w:t>
      </w:r>
    </w:p>
    <w:p>
      <w:pPr>
        <w:pBdr>
          <w:bottom w:val="single" w:color="5B4FE9" w:sz="6" w:space="1"/>
        </w:pBdr>
        <w:spacing w:after="160" w:before="60"/>
      </w:pPr>
      <w:r>
        <w:t xml:space="preserve"/>
      </w:r>
    </w:p>
    <w:p>
      <w:pPr>
        <w:pStyle w:val="Heading1"/>
      </w:pPr>
      <w:r>
        <w:t xml:space="preserve">9. Rollout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860"/>
        <w:gridCol w:w="1700"/>
      </w:tblGrid>
      <w:tr>
        <w:trPr>
          <w:tblHeader/>
        </w:trPr>
        <w:tc>
          <w:tcPr>
            <w:tcW w:type="dxa" w:w="190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Phase</w:t>
            </w:r>
          </w:p>
        </w:tc>
        <w:tc>
          <w:tcPr>
            <w:tcW w:type="dxa" w:w="290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Who</w:t>
            </w:r>
          </w:p>
        </w:tc>
        <w:tc>
          <w:tcPr>
            <w:tcW w:type="dxa" w:w="286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Goal</w:t>
            </w:r>
          </w:p>
        </w:tc>
        <w:tc>
          <w:tcPr>
            <w:tcW w:type="dxa" w:w="170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Bank data</w:t>
            </w:r>
          </w:p>
        </w:tc>
      </w:tr>
      <w:tr>
        <w:tc>
          <w:tcPr>
            <w:tcW w:type="dxa" w:w="19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0. Sandbox build</w:t>
            </w:r>
          </w:p>
        </w:tc>
        <w:tc>
          <w:tcPr>
            <w:tcW w:type="dxa" w:w="29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Just you</w:t>
            </w:r>
          </w:p>
        </w:tc>
        <w:tc>
          <w:tcPr>
            <w:tcW w:type="dxa" w:w="286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Build the full flow + Safe-to-Spend engine.</w:t>
            </w:r>
          </w:p>
        </w:tc>
        <w:tc>
          <w:tcPr>
            <w:tcW w:type="dxa" w:w="17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TrueLayer test data (free)</w:t>
            </w:r>
          </w:p>
        </w:tc>
      </w:tr>
      <w:tr>
        <w:tc>
          <w:tcPr>
            <w:tcW w:type="dxa" w:w="19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1. Friends test</w:t>
            </w:r>
          </w:p>
        </w:tc>
        <w:tc>
          <w:tcPr>
            <w:tcW w:type="dxa" w:w="29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~10 friends, Revolut + BOI/AIB each (≈20 connections)</w:t>
            </w:r>
          </w:p>
        </w:tc>
        <w:tc>
          <w:tcPr>
            <w:tcW w:type="dxa" w:w="286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Does the cross-account answer feel useful? Is the voice right?</w:t>
            </w:r>
          </w:p>
        </w:tc>
        <w:tc>
          <w:tcPr>
            <w:tcW w:type="dxa" w:w="17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Real, live access</w:t>
            </w:r>
          </w:p>
        </w:tc>
      </w:tr>
      <w:tr>
        <w:tc>
          <w:tcPr>
            <w:tcW w:type="dxa" w:w="19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2. Closed beta</w:t>
            </w:r>
          </w:p>
        </w:tc>
        <w:tc>
          <w:tcPr>
            <w:tcW w:type="dxa" w:w="29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~50 to 100</w:t>
            </w:r>
          </w:p>
        </w:tc>
        <w:tc>
          <w:tcPr>
            <w:tcW w:type="dxa" w:w="286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Retention, do people come back? Which nudges land?</w:t>
            </w:r>
          </w:p>
        </w:tc>
        <w:tc>
          <w:tcPr>
            <w:tcW w:type="dxa" w:w="17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Real, production</w:t>
            </w:r>
          </w:p>
        </w:tc>
      </w:tr>
      <w:tr>
        <w:tc>
          <w:tcPr>
            <w:tcW w:type="dxa" w:w="19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3. Open beta</w:t>
            </w:r>
          </w:p>
        </w:tc>
        <w:tc>
          <w:tcPr>
            <w:tcW w:type="dxa" w:w="29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Up to ~1,000</w:t>
            </w:r>
          </w:p>
        </w:tc>
        <w:tc>
          <w:tcPr>
            <w:tcW w:type="dxa" w:w="286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Validate unit economics + monetisation before scaling.</w:t>
            </w:r>
          </w:p>
        </w:tc>
        <w:tc>
          <w:tcPr>
            <w:tcW w:type="dxa" w:w="17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Real, production (paid tier)</w:t>
            </w:r>
          </w:p>
        </w:tc>
      </w:tr>
    </w:tbl>
    <w:p>
      <w:pPr>
        <w:pBdr>
          <w:bottom w:val="single" w:color="5B4FE9" w:sz="6" w:space="1"/>
        </w:pBdr>
        <w:spacing w:after="160" w:before="60"/>
      </w:pPr>
      <w:r>
        <w:t xml:space="preserve"/>
      </w:r>
    </w:p>
    <w:p>
      <w:pPr>
        <w:pStyle w:val="Heading1"/>
      </w:pPr>
      <w:r>
        <w:t xml:space="preserve">10. Cost model</w:t>
      </w:r>
    </w:p>
    <w:p>
      <w:pPr>
        <w:spacing w:after="140" w:line="276"/>
      </w:pPr>
      <w:r>
        <w:rPr>
          <w:color w:val="1A1A2E"/>
        </w:rPr>
        <w:t xml:space="preserve">The Open Banking aggregator fee is the dominant cost and it scales per connected account (each user has 2). The LLM and infra are minor by comparison. These are estimates: TrueLayer and Plaid price per connection and are sales-gated, so a real quote is needed before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1980"/>
        <w:gridCol w:w="1980"/>
      </w:tblGrid>
      <w:tr>
        <w:trPr>
          <w:tblHeader/>
        </w:trPr>
        <w:tc>
          <w:tcPr>
            <w:tcW w:type="dxa" w:w="270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Scale</w:t>
            </w:r>
          </w:p>
        </w:tc>
        <w:tc>
          <w:tcPr>
            <w:tcW w:type="dxa" w:w="270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Aggregator</w:t>
            </w:r>
          </w:p>
        </w:tc>
        <w:tc>
          <w:tcPr>
            <w:tcW w:type="dxa" w:w="198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LLM + infra</w:t>
            </w:r>
          </w:p>
        </w:tc>
        <w:tc>
          <w:tcPr>
            <w:tcW w:type="dxa" w:w="198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Rough monthly total</w:t>
            </w:r>
          </w:p>
        </w:tc>
      </w:tr>
      <w:tr>
        <w:tc>
          <w:tcPr>
            <w:tcW w:type="dxa" w:w="27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10 friends (≈20 connections)</w:t>
            </w:r>
          </w:p>
        </w:tc>
        <w:tc>
          <w:tcPr>
            <w:tcW w:type="dxa" w:w="27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~0 (free/live-test tier)</w:t>
            </w:r>
          </w:p>
        </w:tc>
        <w:tc>
          <w:tcPr>
            <w:tcW w:type="dxa" w:w="198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~0</w:t>
            </w:r>
          </w:p>
        </w:tc>
        <w:tc>
          <w:tcPr>
            <w:tcW w:type="dxa" w:w="198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 0</w:t>
            </w:r>
          </w:p>
        </w:tc>
      </w:tr>
      <w:tr>
        <w:tc>
          <w:tcPr>
            <w:tcW w:type="dxa" w:w="27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100 users (≈200 connections)</w:t>
            </w:r>
          </w:p>
        </w:tc>
        <w:tc>
          <w:tcPr>
            <w:tcW w:type="dxa" w:w="27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Possible plan minimum kicks in</w:t>
            </w:r>
          </w:p>
        </w:tc>
        <w:tc>
          <w:tcPr>
            <w:tcW w:type="dxa" w:w="198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Negligible</w:t>
            </w:r>
          </w:p>
        </w:tc>
        <w:tc>
          <w:tcPr>
            <w:tcW w:type="dxa" w:w="198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~50 to 300</w:t>
            </w:r>
          </w:p>
        </w:tc>
      </w:tr>
      <w:tr>
        <w:tc>
          <w:tcPr>
            <w:tcW w:type="dxa" w:w="27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1,000 users (≈2,000 connections)</w:t>
            </w:r>
          </w:p>
        </w:tc>
        <w:tc>
          <w:tcPr>
            <w:tcW w:type="dxa" w:w="27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500 to 2,000</w:t>
            </w:r>
          </w:p>
        </w:tc>
        <w:tc>
          <w:tcPr>
            <w:tcW w:type="dxa" w:w="198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~100 to 300</w:t>
            </w:r>
          </w:p>
        </w:tc>
        <w:tc>
          <w:tcPr>
            <w:tcW w:type="dxa" w:w="198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~600 to 2,300</w:t>
            </w:r>
          </w:p>
        </w:tc>
      </w:tr>
    </w:tbl>
    <w:p>
      <w:pPr>
        <w:spacing w:after="80" w:line="276"/>
      </w:pPr>
      <w:r>
        <w:rPr>
          <w:color w:val="1A1A2E"/>
        </w:rPr>
        <w:t xml:space="preserve">All figures in euro. Plus one-off compliance / privacy-policy review (a few hundred to ~1,000) and optional data liability insurance once at real scale.</w:t>
      </w:r>
    </w:p>
    <w:p>
      <w:pPr>
        <w:pStyle w:val="Heading2"/>
      </w:pPr>
      <w:r>
        <w:t xml:space="preserve">The economics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4FE9" w:sz="18"/>
              <w:bottom w:val="none"/>
              <w:right w:val="none"/>
            </w:tcBorders>
            <w:shd w:fill="F5F6FB" w:val="clear"/>
            <w:tcMar>
              <w:top w:type="dxa" w:w="130"/>
              <w:left w:type="dxa" w:w="200"/>
              <w:bottom w:type="dxa" w:w="130"/>
              <w:right w:type="dxa" w:w="160"/>
            </w:tcMar>
          </w:tcPr>
          <w:p>
            <w:pPr>
              <w:spacing w:after="40"/>
            </w:pPr>
            <w:r>
              <w:rPr>
                <w:b/>
                <w:bCs/>
                <w:color w:val="5B4FE9"/>
                <w:sz w:val="18"/>
                <w:szCs w:val="18"/>
              </w:rPr>
              <w:t xml:space="preserve">Founder note</w:t>
            </w:r>
          </w:p>
          <w:p>
            <w:r>
              <w:rPr>
                <w:i/>
                <w:iCs/>
                <w:color w:val="1A1A2E"/>
                <w:sz w:val="22"/>
                <w:szCs w:val="22"/>
              </w:rPr>
              <w:t xml:space="preserve">At roughly 0.60 to 2.30 per user per month in cost with no revenue by default, a free consumer app bleeds money as it grows. The monetisation model has to be decided before the open beta, not after.</w:t>
            </w:r>
          </w:p>
        </w:tc>
      </w:tr>
    </w:tbl>
    <w:p>
      <w:pPr>
        <w:spacing w:after="80"/>
      </w:pPr>
      <w:r>
        <w:t xml:space="preserve"/>
      </w:r>
    </w:p>
    <w:p>
      <w:pPr>
        <w:pBdr>
          <w:bottom w:val="single" w:color="5B4FE9" w:sz="6" w:space="1"/>
        </w:pBdr>
        <w:spacing w:after="160" w:before="60"/>
      </w:pPr>
      <w:r>
        <w:t xml:space="preserve"/>
      </w:r>
    </w:p>
    <w:p>
      <w:pPr>
        <w:pStyle w:val="Heading1"/>
      </w:pPr>
      <w:r>
        <w:t xml:space="preserve">11. Monetisation</w:t>
      </w:r>
    </w:p>
    <w:p>
      <w:pPr>
        <w:spacing w:after="140" w:line="276"/>
      </w:pPr>
      <w:r>
        <w:rPr>
          <w:color w:val="1A1A2E"/>
        </w:rPr>
        <w:t xml:space="preserve">This is the open question, not the build. Three candidate models, strongest first:</w:t>
      </w:r>
    </w:p>
    <w:p>
      <w:pPr>
        <w:pStyle w:val="Heading3"/>
      </w:pPr>
      <w:r>
        <w:t xml:space="preserve">a) Premium subscription</w:t>
      </w:r>
    </w:p>
    <w:p>
      <w:pPr>
        <w:spacing w:after="140" w:line="276"/>
      </w:pPr>
      <w:r>
        <w:rPr>
          <w:color w:val="1A1A2E"/>
        </w:rPr>
        <w:t xml:space="preserve">Free tier: chat, Safe-to-Spend, basic habit spotting. Premium (~4 to 6/mo): proactive nudges, what-if simulation, couples view, goal tracking. Even ~20% conversion comfortably covers the per-user aggregator cost.</w:t>
      </w:r>
    </w:p>
    <w:p>
      <w:pPr>
        <w:pStyle w:val="Heading3"/>
      </w:pPr>
      <w:r>
        <w:t xml:space="preserve">b) B2B white-label</w:t>
      </w:r>
    </w:p>
    <w:p>
      <w:pPr>
        <w:spacing w:after="140" w:line="276"/>
      </w:pPr>
      <w:r>
        <w:rPr>
          <w:color w:val="1A1A2E"/>
        </w:rPr>
        <w:t xml:space="preserve">License the engine to a credit union, broker, or fintech who absorb the per-user cost and pay you. Cleaner economics and arguably more aligned with SquareTwo's B2B model.</w:t>
      </w:r>
    </w:p>
    <w:p>
      <w:pPr>
        <w:pStyle w:val="Heading3"/>
      </w:pPr>
      <w:r>
        <w:t xml:space="preserve">c) Affiliate / referral</w:t>
      </w:r>
    </w:p>
    <w:p>
      <w:pPr>
        <w:spacing w:after="140" w:line="276"/>
      </w:pPr>
      <w:r>
        <w:rPr>
          <w:color w:val="1A1A2E"/>
        </w:rPr>
        <w:t xml:space="preserve">Earn on better-account, savings, or switching referrals Tilly suggests. Weakest on its own; fine as a supplement. Must never compromise the "on your side" voice.</w:t>
      </w:r>
    </w:p>
    <w:p>
      <w:pPr>
        <w:pBdr>
          <w:bottom w:val="single" w:color="5B4FE9" w:sz="6" w:space="1"/>
        </w:pBdr>
        <w:spacing w:after="160" w:before="60"/>
      </w:pPr>
      <w:r>
        <w:t xml:space="preserve"/>
      </w:r>
    </w:p>
    <w:p>
      <w:pPr>
        <w:pStyle w:val="Heading1"/>
      </w:pPr>
      <w:r>
        <w:t xml:space="preserve">12. Risks and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Risk</w:t>
            </w:r>
          </w:p>
        </w:tc>
        <w:tc>
          <w:tcPr>
            <w:tcW w:type="dxa" w:w="5960"/>
            <w:tcBorders>
              <w:top w:val="single" w:color="D9DCEA" w:sz="1"/>
              <w:left w:val="single" w:color="D9DCEA" w:sz="1"/>
              <w:bottom w:val="single" w:color="D9DCEA" w:sz="1"/>
              <w:right w:val="single" w:color="D9DCEA" w:sz="1"/>
            </w:tcBorders>
            <w:shd w:fill="5B4FE9" w:val="clear"/>
            <w:tcMar>
              <w:top w:type="dxa" w:w="90"/>
              <w:left w:type="dxa" w:w="130"/>
              <w:bottom w:type="dxa" w:w="90"/>
              <w:right w:type="dxa" w:w="130"/>
            </w:tcMar>
          </w:tcPr>
          <w:p>
            <w:r>
              <w:rPr>
                <w:b/>
                <w:bCs/>
                <w:color w:val="FFFFFF"/>
                <w:sz w:val="19"/>
                <w:szCs w:val="19"/>
              </w:rPr>
              <w:t xml:space="preserve">Mitigation</w:t>
            </w:r>
          </w:p>
        </w:tc>
      </w:tr>
      <w:tr>
        <w:tc>
          <w:tcPr>
            <w:tcW w:type="dxa" w:w="34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Bank apps (Revolut) already show spending insights</w:t>
            </w:r>
          </w:p>
        </w:tc>
        <w:tc>
          <w:tcPr>
            <w:tcW w:type="dxa" w:w="596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Lead on cross-account + forward projection + personality, the things no single bank app does.</w:t>
            </w:r>
          </w:p>
        </w:tc>
      </w:tr>
      <w:tr>
        <w:tc>
          <w:tcPr>
            <w:tcW w:type="dxa" w:w="34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LLM states a wrong number</w:t>
            </w:r>
          </w:p>
        </w:tc>
        <w:tc>
          <w:tcPr>
            <w:tcW w:type="dxa" w:w="596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Hard architectural rule: numbers from code only. LLM never calculates. Show the figure, let the LLM phrase it.</w:t>
            </w:r>
          </w:p>
        </w:tc>
      </w:tr>
      <w:tr>
        <w:tc>
          <w:tcPr>
            <w:tcW w:type="dxa" w:w="34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Revolut data is patchy via aggregators</w:t>
            </w:r>
          </w:p>
        </w:tc>
        <w:tc>
          <w:tcPr>
            <w:tcW w:type="dxa" w:w="596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Lean on pillar-bank data for bills; test connection reliability in the friends phase.</w:t>
            </w:r>
          </w:p>
        </w:tc>
      </w:tr>
      <w:tr>
        <w:tc>
          <w:tcPr>
            <w:tcW w:type="dxa" w:w="34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Per-user cost with no revenue</w:t>
            </w:r>
          </w:p>
        </w:tc>
        <w:tc>
          <w:tcPr>
            <w:tcW w:type="dxa" w:w="596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Decide monetisation before open beta. Validate premium conversion in closed beta.</w:t>
            </w:r>
          </w:p>
        </w:tc>
      </w:tr>
      <w:tr>
        <w:tc>
          <w:tcPr>
            <w:tcW w:type="dxa" w:w="340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PSD2 consent expiry (~90 days)</w:t>
            </w:r>
          </w:p>
        </w:tc>
        <w:tc>
          <w:tcPr>
            <w:tcW w:type="dxa" w:w="5960"/>
            <w:tcBorders>
              <w:top w:val="single" w:color="D9DCEA" w:sz="1"/>
              <w:left w:val="single" w:color="D9DCEA" w:sz="1"/>
              <w:bottom w:val="single" w:color="D9DCEA" w:sz="1"/>
              <w:right w:val="single" w:color="D9DCEA" w:sz="1"/>
            </w:tcBorders>
            <w:shd w:fill="FFFFFF" w:val="clear"/>
            <w:tcMar>
              <w:top w:type="dxa" w:w="90"/>
              <w:left w:type="dxa" w:w="130"/>
              <w:bottom w:type="dxa" w:w="90"/>
              <w:right w:type="dxa" w:w="130"/>
            </w:tcMar>
          </w:tcPr>
          <w:p>
            <w:r>
              <w:rPr>
                <w:color w:val="1A1A2E"/>
                <w:sz w:val="19"/>
                <w:szCs w:val="19"/>
              </w:rPr>
              <w:t xml:space="preserve">Build graceful re-auth from day one.</w:t>
            </w:r>
          </w:p>
        </w:tc>
      </w:tr>
      <w:tr>
        <w:tc>
          <w:tcPr>
            <w:tcW w:type="dxa" w:w="340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Trust / data sensitivity</w:t>
            </w:r>
          </w:p>
        </w:tc>
        <w:tc>
          <w:tcPr>
            <w:tcW w:type="dxa" w:w="5960"/>
            <w:tcBorders>
              <w:top w:val="single" w:color="D9DCEA" w:sz="1"/>
              <w:left w:val="single" w:color="D9DCEA" w:sz="1"/>
              <w:bottom w:val="single" w:color="D9DCEA" w:sz="1"/>
              <w:right w:val="single" w:color="D9DCEA" w:sz="1"/>
            </w:tcBorders>
            <w:shd w:fill="F5F6FB" w:val="clear"/>
            <w:tcMar>
              <w:top w:type="dxa" w:w="90"/>
              <w:left w:type="dxa" w:w="130"/>
              <w:bottom w:type="dxa" w:w="90"/>
              <w:right w:type="dxa" w:w="130"/>
            </w:tcMar>
          </w:tcPr>
          <w:p>
            <w:r>
              <w:rPr>
                <w:color w:val="1A1A2E"/>
                <w:sz w:val="19"/>
                <w:szCs w:val="19"/>
              </w:rPr>
              <w:t xml:space="preserve">Read-only, clear consent, GDPR-clean storage, transparent privacy policy.</w:t>
            </w:r>
          </w:p>
        </w:tc>
      </w:tr>
    </w:tbl>
    <w:p>
      <w:pPr>
        <w:pBdr>
          <w:bottom w:val="single" w:color="5B4FE9" w:sz="6" w:space="1"/>
        </w:pBdr>
        <w:spacing w:after="160" w:before="60"/>
      </w:pPr>
      <w:r>
        <w:t xml:space="preserve"/>
      </w:r>
    </w:p>
    <w:p>
      <w:pPr>
        <w:pStyle w:val="Heading1"/>
      </w:pPr>
      <w:r>
        <w:t xml:space="preserve">13. Success metrics</w:t>
      </w:r>
    </w:p>
    <w:p>
      <w:pPr>
        <w:pStyle w:val="ListParagraph"/>
        <w:numPr>
          <w:ilvl w:val="0"/>
          <w:numId w:val="2"/>
        </w:numPr>
        <w:spacing w:after="70" w:line="270"/>
      </w:pPr>
      <w:r>
        <w:rPr>
          <w:color w:val="1A1A2E"/>
        </w:rPr>
        <w:t xml:space="preserve">Activation: % of signups who link at least one account, then both.</w:t>
      </w:r>
    </w:p>
    <w:p>
      <w:pPr>
        <w:pStyle w:val="ListParagraph"/>
        <w:numPr>
          <w:ilvl w:val="0"/>
          <w:numId w:val="2"/>
        </w:numPr>
        <w:spacing w:after="70" w:line="270"/>
      </w:pPr>
      <w:r>
        <w:rPr>
          <w:color w:val="1A1A2E"/>
        </w:rPr>
        <w:t xml:space="preserve">Engagement: weekly active users; messages per user per week.</w:t>
      </w:r>
    </w:p>
    <w:p>
      <w:pPr>
        <w:pStyle w:val="ListParagraph"/>
        <w:numPr>
          <w:ilvl w:val="0"/>
          <w:numId w:val="2"/>
        </w:numPr>
        <w:spacing w:after="70" w:line="270"/>
      </w:pPr>
      <w:r>
        <w:rPr>
          <w:color w:val="1A1A2E"/>
        </w:rPr>
        <w:t xml:space="preserve">"Aha": % who ask an affordability question in week 1.</w:t>
      </w:r>
    </w:p>
    <w:p>
      <w:pPr>
        <w:pStyle w:val="ListParagraph"/>
        <w:numPr>
          <w:ilvl w:val="0"/>
          <w:numId w:val="2"/>
        </w:numPr>
        <w:spacing w:after="70" w:line="270"/>
      </w:pPr>
      <w:r>
        <w:rPr>
          <w:color w:val="1A1A2E"/>
        </w:rPr>
        <w:t xml:space="preserve">Retention: week-4 retention is the real signal this is sticky, not a novelty.</w:t>
      </w:r>
    </w:p>
    <w:p>
      <w:pPr>
        <w:pStyle w:val="ListParagraph"/>
        <w:numPr>
          <w:ilvl w:val="0"/>
          <w:numId w:val="2"/>
        </w:numPr>
        <w:spacing w:after="70" w:line="270"/>
      </w:pPr>
      <w:r>
        <w:rPr>
          <w:color w:val="1A1A2E"/>
        </w:rPr>
        <w:t xml:space="preserve">Nudge value: % of proactive nudges that get a positive response / action.</w:t>
      </w:r>
    </w:p>
    <w:p>
      <w:pPr>
        <w:pStyle w:val="ListParagraph"/>
        <w:numPr>
          <w:ilvl w:val="0"/>
          <w:numId w:val="2"/>
        </w:numPr>
        <w:spacing w:after="70" w:line="270"/>
      </w:pPr>
      <w:r>
        <w:rPr>
          <w:color w:val="1A1A2E"/>
        </w:rPr>
        <w:t xml:space="preserve">(Later) Premium conversion rate and per-user margin.</w:t>
      </w:r>
    </w:p>
    <w:p>
      <w:pPr>
        <w:pBdr>
          <w:bottom w:val="single" w:color="5B4FE9" w:sz="6" w:space="1"/>
        </w:pBdr>
        <w:spacing w:after="160" w:before="60"/>
      </w:pPr>
      <w:r>
        <w:t xml:space="preserve"/>
      </w:r>
    </w:p>
    <w:p>
      <w:pPr>
        <w:pStyle w:val="Heading1"/>
      </w:pPr>
      <w:r>
        <w:t xml:space="preserve">14. Naming note</w:t>
      </w:r>
    </w:p>
    <w:p>
      <w:pPr>
        <w:spacing w:after="80" w:line="276"/>
      </w:pPr>
      <w:r>
        <w:rPr>
          <w:color w:val="1A1A2E"/>
        </w:rPr>
        <w:t xml:space="preserve">"Tilly" is a placeholder, chosen because a friendly first-name persona suits the coach concept and gives the chat a character. Worth a proper naming pass before launch: it needs a clean .ie/.com, an available handle, and no clash with existing fintech brands. The persona name (what you call the AI) and the app/brand name can differ, e.g. brand "X", coach "Tilly".</w:t>
      </w:r>
    </w:p>
    <w:p>
      <w:pPr>
        <w:spacing w:after="200"/>
      </w:pPr>
      <w:r>
        <w:t xml:space="preserve"/>
      </w:r>
    </w:p>
    <w:p>
      <w:pPr>
        <w:pBdr>
          <w:top w:val="single" w:color="5B4FE9" w:sz="6" w:space="6"/>
        </w:pBdr>
        <w:spacing w:before="120"/>
      </w:pPr>
      <w:r>
        <w:rPr>
          <w:color w:val="6B6B7B"/>
          <w:sz w:val="18"/>
          <w:szCs w:val="18"/>
        </w:rPr>
        <w:t xml:space="preserve">End of document  ·  Tilly PRD v0.1  ·  Draft for internal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5B4FE9"/>
      </w:r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ptos" w:cs="Aptos" w:eastAsia="Aptos" w:hAnsi="Aptos"/>
      <w:b/>
      <w:bCs/>
      <w:color w:val="5B4FE9"/>
      <w:sz w:val="34"/>
      <w:szCs w:val="34"/>
    </w:rPr>
  </w:style>
  <w:style w:type="paragraph" w:styleId="Heading2">
    <w:name w:val="Heading 2"/>
    <w:basedOn w:val="Normal"/>
    <w:next w:val="Normal"/>
    <w:qFormat/>
    <w:pPr>
      <w:spacing w:after="120" w:before="220"/>
      <w:outlineLvl w:val="1"/>
    </w:pPr>
    <w:rPr>
      <w:rFonts w:ascii="Aptos" w:cs="Aptos" w:eastAsia="Aptos" w:hAnsi="Aptos"/>
      <w:b/>
      <w:bCs/>
      <w:color w:val="1A1A2E"/>
      <w:sz w:val="26"/>
      <w:szCs w:val="26"/>
    </w:rPr>
  </w:style>
  <w:style w:type="paragraph" w:styleId="Heading3">
    <w:name w:val="Heading 3"/>
    <w:basedOn w:val="Normal"/>
    <w:next w:val="Normal"/>
    <w:qFormat/>
    <w:pPr>
      <w:spacing w:after="80" w:before="160"/>
      <w:outlineLvl w:val="2"/>
    </w:pPr>
    <w:rPr>
      <w:rFonts w:ascii="Aptos" w:cs="Aptos" w:eastAsia="Aptos" w:hAnsi="Aptos"/>
      <w:b/>
      <w:bCs/>
      <w:color w:val="00C2A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2026-06-18T20:44:24.251Z</dcterms:created>
  <dcterms:modified xsi:type="dcterms:W3CDTF">2026-06-18T20:44:24.251Z</dcterms:modified>
</cp:coreProperties>
</file>

<file path=docProps/custom.xml><?xml version="1.0" encoding="utf-8"?>
<Properties xmlns="http://schemas.openxmlformats.org/officeDocument/2006/custom-properties" xmlns:vt="http://schemas.openxmlformats.org/officeDocument/2006/docPropsVTypes"/>
</file>