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FC" w:rsidRDefault="008973D8" w:rsidP="00854F89">
      <w:pPr>
        <w:pStyle w:val="Title"/>
        <w:jc w:val="center"/>
      </w:pPr>
      <w:r>
        <w:t>Real-T</w:t>
      </w:r>
      <w:r w:rsidR="004832CB">
        <w:t xml:space="preserve">ime </w:t>
      </w:r>
      <w:r>
        <w:t>R</w:t>
      </w:r>
      <w:r w:rsidR="009C03F6">
        <w:t>endering</w:t>
      </w:r>
      <w:r w:rsidR="004832CB">
        <w:t xml:space="preserve"> of </w:t>
      </w:r>
      <w:r>
        <w:t>T</w:t>
      </w:r>
      <w:r w:rsidR="004832CB">
        <w:t xml:space="preserve">ranslucent </w:t>
      </w:r>
      <w:r>
        <w:t>M</w:t>
      </w:r>
      <w:r w:rsidR="004832CB">
        <w:t>aterials</w:t>
      </w:r>
      <w:r w:rsidR="004A34FE">
        <w:t xml:space="preserve"> in a Deferred Render</w:t>
      </w:r>
    </w:p>
    <w:p w:rsidR="00854F89" w:rsidRDefault="00854F89" w:rsidP="00854F89"/>
    <w:p w:rsidR="00854F89" w:rsidRPr="00935982" w:rsidRDefault="00854F89" w:rsidP="00854F89">
      <w:pPr>
        <w:jc w:val="center"/>
        <w:rPr>
          <w:sz w:val="24"/>
        </w:rPr>
      </w:pPr>
      <w:r w:rsidRPr="00935982">
        <w:rPr>
          <w:sz w:val="24"/>
        </w:rPr>
        <w:t>Sam Oates</w:t>
      </w:r>
    </w:p>
    <w:p w:rsidR="00DA5997" w:rsidRDefault="00854F89" w:rsidP="00787577">
      <w:pPr>
        <w:pBdr>
          <w:bottom w:val="single" w:sz="6" w:space="1" w:color="auto"/>
        </w:pBdr>
        <w:jc w:val="center"/>
      </w:pPr>
      <w:r>
        <w:t>Computer Games Programming, Te</w:t>
      </w:r>
      <w:r w:rsidR="001201B4">
        <w:t>e</w:t>
      </w:r>
      <w:r>
        <w:t>sside University</w:t>
      </w:r>
    </w:p>
    <w:p w:rsidR="00DA5997" w:rsidRDefault="001435BC" w:rsidP="002F1C8F">
      <w:pPr>
        <w:rPr>
          <w:b/>
        </w:rPr>
      </w:pPr>
      <w:r>
        <w:rPr>
          <w:b/>
        </w:rPr>
        <w:t>The rendering of translucent materials is a complicated procedure to produce accurate results,</w:t>
      </w:r>
      <w:r w:rsidR="006E41C7">
        <w:rPr>
          <w:b/>
        </w:rPr>
        <w:t xml:space="preserve"> with many techniques</w:t>
      </w:r>
      <w:r>
        <w:rPr>
          <w:b/>
        </w:rPr>
        <w:t xml:space="preserve"> not suitable for real-time applications and or implementations. This report aims to cover and explore a plausible implementation of translucent materials and sub-surface scattering in a real-time implementation</w:t>
      </w:r>
      <w:r w:rsidR="00003A10">
        <w:rPr>
          <w:b/>
        </w:rPr>
        <w:t>, via the means of comparing and discussing current techniques used</w:t>
      </w:r>
      <w:r w:rsidR="007340E3">
        <w:rPr>
          <w:b/>
        </w:rPr>
        <w:t>,</w:t>
      </w:r>
      <w:r w:rsidR="000A5529">
        <w:rPr>
          <w:b/>
        </w:rPr>
        <w:t xml:space="preserve"> and </w:t>
      </w:r>
      <w:r w:rsidR="00867997">
        <w:rPr>
          <w:b/>
        </w:rPr>
        <w:t>said techniques</w:t>
      </w:r>
      <w:r w:rsidR="000A5529">
        <w:rPr>
          <w:b/>
        </w:rPr>
        <w:t xml:space="preserve"> origins</w:t>
      </w:r>
      <w:r w:rsidR="00F353F7">
        <w:rPr>
          <w:b/>
        </w:rPr>
        <w:t>.</w:t>
      </w:r>
    </w:p>
    <w:p w:rsidR="00DA5997" w:rsidRDefault="00DA5997" w:rsidP="00C845AB">
      <w:pPr>
        <w:pBdr>
          <w:bottom w:val="single" w:sz="6" w:space="0" w:color="auto"/>
        </w:pBdr>
        <w:rPr>
          <w:b/>
        </w:rPr>
      </w:pPr>
    </w:p>
    <w:p w:rsidR="000C45D4" w:rsidRDefault="000C45D4" w:rsidP="00C845AB">
      <w:pPr>
        <w:sectPr w:rsidR="000C45D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5982" w:rsidRPr="0054158B" w:rsidRDefault="000C45D4" w:rsidP="00066755">
      <w:pPr>
        <w:pStyle w:val="Heading2"/>
        <w:rPr>
          <w:color w:val="C00000"/>
        </w:rPr>
      </w:pPr>
      <w:r w:rsidRPr="0054158B">
        <w:rPr>
          <w:color w:val="C00000"/>
        </w:rPr>
        <w:lastRenderedPageBreak/>
        <w:t>Introduction</w:t>
      </w:r>
    </w:p>
    <w:p w:rsidR="000C45D4" w:rsidRDefault="0023239F" w:rsidP="000C45D4">
      <w:pPr>
        <w:ind w:left="360"/>
      </w:pPr>
      <w:r>
        <w:t>The world is made from many different types of translucent materials, from leaves and paper to skin and milk.</w:t>
      </w:r>
      <w:r w:rsidR="003C2CE1">
        <w:t xml:space="preserve"> Translucency occurs when light enters a given object and scatters based upon the physical properties of the objects material. </w:t>
      </w:r>
      <w:r w:rsidR="00B923D8">
        <w:t xml:space="preserve">The technical name for this </w:t>
      </w:r>
      <w:r w:rsidR="002600A5">
        <w:t xml:space="preserve">physical </w:t>
      </w:r>
      <w:r w:rsidR="002600A5" w:rsidRPr="002600A5">
        <w:t xml:space="preserve">phenomenon </w:t>
      </w:r>
      <w:r w:rsidR="00B923D8">
        <w:t>is subsurface scattering.</w:t>
      </w:r>
      <w:r w:rsidR="006B0045">
        <w:t xml:space="preserve"> </w:t>
      </w:r>
    </w:p>
    <w:p w:rsidR="00BF7032" w:rsidRPr="0054158B" w:rsidRDefault="00787577" w:rsidP="00066755">
      <w:pPr>
        <w:pStyle w:val="Heading2"/>
        <w:rPr>
          <w:color w:val="C00000"/>
        </w:rPr>
      </w:pPr>
      <w:r w:rsidRPr="0054158B">
        <w:rPr>
          <w:color w:val="C00000"/>
        </w:rPr>
        <w:t>Background</w:t>
      </w:r>
    </w:p>
    <w:p w:rsidR="00CC0240" w:rsidRDefault="002600A5" w:rsidP="00B44CE1">
      <w:pPr>
        <w:ind w:left="360"/>
      </w:pPr>
      <w:r>
        <w:t xml:space="preserve">Multiple implementations have been used in the past to try best reproduce subsurface scattering accurately and efficiently. The bidirectional reflection distribution function (BRDF) introduced by </w:t>
      </w:r>
      <w:r w:rsidRPr="002600A5">
        <w:t>Nicodemus</w:t>
      </w:r>
      <w:r w:rsidR="00FC610C">
        <w:t xml:space="preserve"> </w:t>
      </w:r>
      <w:r w:rsidR="00E11257">
        <w:t>(</w:t>
      </w:r>
      <w:r w:rsidR="00FC610C">
        <w:t>1977</w:t>
      </w:r>
      <w:r w:rsidR="00E11257">
        <w:t>)</w:t>
      </w:r>
      <w:r w:rsidR="003D3F42">
        <w:t>,</w:t>
      </w:r>
      <w:r>
        <w:t xml:space="preserve"> considers the case where light striking a surface point gets reflected at the same point.</w:t>
      </w:r>
      <w:r w:rsidR="00B44CE1">
        <w:t xml:space="preserve"> </w:t>
      </w:r>
    </w:p>
    <w:p w:rsidR="002600A5" w:rsidRDefault="00CC0240" w:rsidP="00B44CE1">
      <w:pPr>
        <w:ind w:left="360"/>
      </w:pPr>
      <w:r>
        <w:t>One of the most influential people in the field of subsurface scattering is</w:t>
      </w:r>
      <w:r w:rsidR="00B44CE1">
        <w:t xml:space="preserve"> </w:t>
      </w:r>
      <w:r w:rsidR="00B44CE1" w:rsidRPr="00B44CE1">
        <w:t>Henrik Wann Jensen</w:t>
      </w:r>
      <w:r w:rsidR="0018450F">
        <w:t xml:space="preserve"> (2001)</w:t>
      </w:r>
      <w:r>
        <w:t xml:space="preserve">, </w:t>
      </w:r>
      <w:r w:rsidR="003860F2">
        <w:t>whose</w:t>
      </w:r>
      <w:r>
        <w:t xml:space="preserve"> paper </w:t>
      </w:r>
      <w:r w:rsidRPr="00875D07">
        <w:rPr>
          <w:i/>
        </w:rPr>
        <w:t>A Practical Model for Subsurface Light Transport</w:t>
      </w:r>
      <w:r>
        <w:t xml:space="preserve"> proposed that subsurface scattering in translucent materials should take into account both single</w:t>
      </w:r>
      <w:r w:rsidR="0012616E">
        <w:t xml:space="preserve"> </w:t>
      </w:r>
      <w:r>
        <w:t>scattering of light rays and multiple scattering.</w:t>
      </w:r>
      <w:r w:rsidR="00D60B53">
        <w:t xml:space="preserve"> Jensen proposed the use of a bidirectional subsurface scattering distribution function (BSSRDF</w:t>
      </w:r>
      <w:r w:rsidR="00C91F67">
        <w:t>)</w:t>
      </w:r>
      <w:r w:rsidR="00D60B53">
        <w:t xml:space="preserve">, rather than the </w:t>
      </w:r>
      <w:r w:rsidR="00D60B53">
        <w:lastRenderedPageBreak/>
        <w:t>traditional BRDF.</w:t>
      </w:r>
      <w:r w:rsidR="004A7A44">
        <w:t xml:space="preserve"> However, although more accurate</w:t>
      </w:r>
      <w:r w:rsidR="00DE74FE">
        <w:t>,</w:t>
      </w:r>
      <w:r w:rsidR="004A7A44">
        <w:t xml:space="preserve"> BSSRDF requires more sampling and is more expensive than BRDF.</w:t>
      </w:r>
    </w:p>
    <w:p w:rsidR="00EF628F" w:rsidRDefault="00875D07" w:rsidP="00B44CE1">
      <w:pPr>
        <w:ind w:left="360"/>
      </w:pPr>
      <w:r>
        <w:t>Jensen and Buhler</w:t>
      </w:r>
      <w:r w:rsidR="0018450F">
        <w:t xml:space="preserve"> (2002)</w:t>
      </w:r>
      <w:r>
        <w:t xml:space="preserve"> then presented a faster approach to subsurface scattering in their paper </w:t>
      </w:r>
      <w:r w:rsidRPr="00875D07">
        <w:rPr>
          <w:i/>
        </w:rPr>
        <w:t xml:space="preserve">A </w:t>
      </w:r>
      <w:r>
        <w:rPr>
          <w:i/>
        </w:rPr>
        <w:t>R</w:t>
      </w:r>
      <w:r w:rsidRPr="00875D07">
        <w:rPr>
          <w:i/>
        </w:rPr>
        <w:t xml:space="preserve">apid </w:t>
      </w:r>
      <w:r>
        <w:rPr>
          <w:i/>
        </w:rPr>
        <w:t>H</w:t>
      </w:r>
      <w:r w:rsidRPr="00875D07">
        <w:rPr>
          <w:i/>
        </w:rPr>
        <w:t xml:space="preserve">ierarchical </w:t>
      </w:r>
      <w:r>
        <w:rPr>
          <w:i/>
        </w:rPr>
        <w:t>R</w:t>
      </w:r>
      <w:r w:rsidRPr="00875D07">
        <w:rPr>
          <w:i/>
        </w:rPr>
        <w:t xml:space="preserve">endering </w:t>
      </w:r>
      <w:r>
        <w:rPr>
          <w:i/>
        </w:rPr>
        <w:t>T</w:t>
      </w:r>
      <w:r w:rsidRPr="00875D07">
        <w:rPr>
          <w:i/>
        </w:rPr>
        <w:t xml:space="preserve">echnique </w:t>
      </w:r>
      <w:r w:rsidR="0040777F">
        <w:rPr>
          <w:i/>
        </w:rPr>
        <w:t>f</w:t>
      </w:r>
      <w:r w:rsidRPr="00875D07">
        <w:rPr>
          <w:i/>
        </w:rPr>
        <w:t xml:space="preserve">or </w:t>
      </w:r>
      <w:r>
        <w:rPr>
          <w:i/>
        </w:rPr>
        <w:t>T</w:t>
      </w:r>
      <w:r w:rsidRPr="00875D07">
        <w:rPr>
          <w:i/>
        </w:rPr>
        <w:t xml:space="preserve">ranslucent </w:t>
      </w:r>
      <w:r>
        <w:rPr>
          <w:i/>
        </w:rPr>
        <w:t>M</w:t>
      </w:r>
      <w:r w:rsidRPr="00875D07">
        <w:rPr>
          <w:i/>
        </w:rPr>
        <w:t>aterials</w:t>
      </w:r>
      <w:r w:rsidR="0040777F">
        <w:t xml:space="preserve">. Their approach </w:t>
      </w:r>
      <w:r w:rsidR="00D60B53">
        <w:t>uses a two-pass rendering technique and leans towards use with a forward rendering system rather than a deferred rendering system.</w:t>
      </w:r>
      <w:r w:rsidR="006F5D1B">
        <w:t xml:space="preserve"> </w:t>
      </w:r>
    </w:p>
    <w:p w:rsidR="006F5D1B" w:rsidRDefault="006F5D1B" w:rsidP="00B44CE1">
      <w:pPr>
        <w:ind w:left="360"/>
      </w:pPr>
      <w:r>
        <w:t>The two-pass approach consists of</w:t>
      </w:r>
      <w:r w:rsidR="00F548B3">
        <w:t xml:space="preserve"> the following. T</w:t>
      </w:r>
      <w:r>
        <w:t>he first pass where we compute the irradiance at selected points on the objects surface, and the second pass where we evaluate a diffusion approximation using the pre-computed irradiance samples. Jens</w:t>
      </w:r>
      <w:r w:rsidR="00DA5B27">
        <w:t>en</w:t>
      </w:r>
      <w:r>
        <w:t xml:space="preserve"> and Buhler’s approach is substantially faster than sampling directly from the BSSRDF as it only has to evaluate the incident illumination once at a given surface location.</w:t>
      </w:r>
    </w:p>
    <w:p w:rsidR="00795247" w:rsidRDefault="00795247" w:rsidP="00B44CE1">
      <w:pPr>
        <w:ind w:left="360"/>
      </w:pPr>
      <w:r>
        <w:t xml:space="preserve">However, although Jensen and Buhler’s approach is faster than previous translucent material implementations, it </w:t>
      </w:r>
      <w:r w:rsidR="00831448">
        <w:t>is far from real-</w:t>
      </w:r>
      <w:r>
        <w:t>time, requiring a 5 minute average render time.</w:t>
      </w:r>
    </w:p>
    <w:p w:rsidR="00787577" w:rsidRDefault="00115EFC" w:rsidP="00115EFC">
      <w:pPr>
        <w:ind w:left="360"/>
      </w:pPr>
      <w:r>
        <w:lastRenderedPageBreak/>
        <w:t xml:space="preserve">Moving towards an interactive real-time solution </w:t>
      </w:r>
      <w:r w:rsidRPr="00115EFC">
        <w:t>Hendrik Lensch</w:t>
      </w:r>
      <w:r>
        <w:t xml:space="preserve"> presented a paper for rendering translucent objects where the view point and illumination could be modified in real-time.</w:t>
      </w:r>
      <w:r w:rsidR="00443D24">
        <w:t xml:space="preserve"> The solution proposed in</w:t>
      </w:r>
      <w:r>
        <w:t xml:space="preserve"> Lensch’s </w:t>
      </w:r>
      <w:r w:rsidRPr="00115EFC">
        <w:rPr>
          <w:i/>
        </w:rPr>
        <w:t>Interactive Rendering of Translucent Objects</w:t>
      </w:r>
      <w:r>
        <w:t xml:space="preserve"> </w:t>
      </w:r>
      <w:r w:rsidR="00D72FE6">
        <w:t>(</w:t>
      </w:r>
      <w:r>
        <w:t>2002</w:t>
      </w:r>
      <w:r w:rsidR="00D72FE6">
        <w:t>)</w:t>
      </w:r>
      <w:r>
        <w:t xml:space="preserve"> </w:t>
      </w:r>
      <w:r w:rsidR="00313532">
        <w:t xml:space="preserve">produced results of </w:t>
      </w:r>
      <w:r w:rsidR="0084243F">
        <w:t>on average</w:t>
      </w:r>
      <w:r w:rsidR="00313532">
        <w:t xml:space="preserve"> </w:t>
      </w:r>
      <w:r w:rsidR="00A03E15">
        <w:t>5</w:t>
      </w:r>
      <w:r w:rsidR="00313532">
        <w:t xml:space="preserve"> frames per second</w:t>
      </w:r>
      <w:r w:rsidR="00A03E15">
        <w:t xml:space="preserve"> when rendering a model of 8,500 </w:t>
      </w:r>
      <w:r w:rsidR="0075417B">
        <w:t>vertices</w:t>
      </w:r>
      <w:r w:rsidR="00313532">
        <w:t>, which in real-time terms is far from the desired frame rate.</w:t>
      </w:r>
    </w:p>
    <w:p w:rsidR="00742028" w:rsidRDefault="00971035" w:rsidP="00ED25A4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9BEF5" wp14:editId="049F89A9">
                <wp:simplePos x="0" y="0"/>
                <wp:positionH relativeFrom="column">
                  <wp:posOffset>3261360</wp:posOffset>
                </wp:positionH>
                <wp:positionV relativeFrom="paragraph">
                  <wp:posOffset>2073275</wp:posOffset>
                </wp:positionV>
                <wp:extent cx="263652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707" w:rsidRPr="007018CC" w:rsidRDefault="00891707" w:rsidP="0089170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53724F">
                              <w:rPr>
                                <w:b/>
                              </w:rPr>
                              <w:t>Figure 2</w:t>
                            </w:r>
                            <w:r>
                              <w:t>: Subsurface Scattering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6.8pt;margin-top:163.25pt;width:207.6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" stroked="f">
                <v:textbox style="mso-fit-shape-to-text:t" inset="0,0,0,0">
                  <w:txbxContent>
                    <w:p w:rsidR="00891707" w:rsidRPr="007018CC" w:rsidRDefault="00891707" w:rsidP="0089170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53724F">
                        <w:rPr>
                          <w:b/>
                        </w:rPr>
                        <w:t>Figure 2</w:t>
                      </w:r>
                      <w:r>
                        <w:t>: Subsurface Scattering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A376D3A" wp14:editId="4B661D2A">
            <wp:simplePos x="0" y="0"/>
            <wp:positionH relativeFrom="margin">
              <wp:posOffset>3264535</wp:posOffset>
            </wp:positionH>
            <wp:positionV relativeFrom="paragraph">
              <wp:posOffset>183515</wp:posOffset>
            </wp:positionV>
            <wp:extent cx="2636520" cy="1828800"/>
            <wp:effectExtent l="57150" t="57150" r="106680" b="114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028">
        <w:t>Advancing more on Jensen’s work with bidirectional subsurface scattering Craig Donner extended upon the previous theory on diffusion approximation</w:t>
      </w:r>
      <w:r w:rsidR="00ED25A4">
        <w:t xml:space="preserve"> in his </w:t>
      </w:r>
      <w:r w:rsidR="001715B3">
        <w:t>Ph.D.</w:t>
      </w:r>
      <w:r w:rsidR="00ED25A4">
        <w:t xml:space="preserve"> thesis </w:t>
      </w:r>
      <w:r w:rsidR="00ED25A4" w:rsidRPr="00F160D1">
        <w:rPr>
          <w:i/>
        </w:rPr>
        <w:t>Towards Realistic Image Synthesis of Scattering Materials</w:t>
      </w:r>
      <w:r w:rsidR="00ED25A4">
        <w:t xml:space="preserve"> </w:t>
      </w:r>
      <w:r w:rsidR="001C64D1">
        <w:t>(</w:t>
      </w:r>
      <w:r w:rsidR="006B472F">
        <w:t>2006</w:t>
      </w:r>
      <w:r w:rsidR="001C64D1">
        <w:t>)</w:t>
      </w:r>
      <w:r w:rsidR="00742028">
        <w:t>.</w:t>
      </w:r>
      <w:r w:rsidR="0023247B">
        <w:t xml:space="preserve"> This theory used a number of multi</w:t>
      </w:r>
      <w:r w:rsidR="00BA2F8F">
        <w:t>-</w:t>
      </w:r>
      <w:r w:rsidR="0023247B">
        <w:t>pole sources rather than a dipole source to calculate reflectance and transmittance.</w:t>
      </w:r>
      <w:r w:rsidR="00B94231">
        <w:t xml:space="preserve"> </w:t>
      </w:r>
    </w:p>
    <w:p w:rsidR="00B82650" w:rsidRPr="0054158B" w:rsidRDefault="00B82650" w:rsidP="00B82650">
      <w:pPr>
        <w:pStyle w:val="Heading2"/>
        <w:rPr>
          <w:color w:val="C00000"/>
        </w:rPr>
      </w:pPr>
      <w:r w:rsidRPr="0054158B">
        <w:rPr>
          <w:color w:val="C00000"/>
        </w:rPr>
        <w:t>Bidirectional Reflection Distribution Function</w:t>
      </w:r>
    </w:p>
    <w:p w:rsidR="00B82650" w:rsidRDefault="00B82650" w:rsidP="00ED25A4">
      <w:pPr>
        <w:ind w:left="360"/>
      </w:pPr>
      <w:r>
        <w:t>Four categories can be used to divide surfaces which reflect light without surface scattering; perfect specular, glossy specular, diffuse and retro-reflective surfaces.</w:t>
      </w:r>
      <w:r w:rsidR="000834C9">
        <w:t xml:space="preserve"> </w:t>
      </w:r>
    </w:p>
    <w:p w:rsidR="00BE0D96" w:rsidRDefault="00043084" w:rsidP="00ED25A4">
      <w:pPr>
        <w:ind w:left="360"/>
      </w:pPr>
      <w:r>
        <w:t>The BRDF function describes how light is reflected off a given opaque surface.</w:t>
      </w:r>
      <w:r w:rsidR="0063582C">
        <w:t xml:space="preserve"> </w:t>
      </w:r>
      <w:r w:rsidR="001A7DEE">
        <w:t xml:space="preserve">The function is multi-dimensional, dependent on the material properties of the shaded </w:t>
      </w:r>
      <w:r w:rsidR="001A7DEE">
        <w:lastRenderedPageBreak/>
        <w:t xml:space="preserve">point and the point of incidence, and the geometry of the scene. </w:t>
      </w:r>
    </w:p>
    <w:p w:rsidR="00411AF4" w:rsidRPr="0054158B" w:rsidRDefault="00411AF4" w:rsidP="00411AF4">
      <w:pPr>
        <w:pStyle w:val="Heading2"/>
        <w:rPr>
          <w:color w:val="C00000"/>
        </w:rPr>
      </w:pPr>
      <w:r w:rsidRPr="0054158B">
        <w:rPr>
          <w:color w:val="C00000"/>
        </w:rPr>
        <w:t xml:space="preserve">Bidirectional subsurface scattering </w:t>
      </w:r>
      <w:r w:rsidR="00055D5C" w:rsidRPr="0054158B">
        <w:rPr>
          <w:color w:val="C00000"/>
        </w:rPr>
        <w:t xml:space="preserve">reflection </w:t>
      </w:r>
      <w:r w:rsidRPr="0054158B">
        <w:rPr>
          <w:color w:val="C00000"/>
        </w:rPr>
        <w:t>distribution function</w:t>
      </w:r>
    </w:p>
    <w:p w:rsidR="00411AF4" w:rsidRDefault="00D878E3" w:rsidP="00411AF4">
      <w:pPr>
        <w:ind w:left="360"/>
      </w:pPr>
      <w:r>
        <w:t>The bidirectional subsurface scattering reflection distribution function (commonly referred to as BSSRDF)</w:t>
      </w:r>
      <w:r w:rsidR="00E50D0B">
        <w:t xml:space="preserve"> </w:t>
      </w:r>
      <w:r w:rsidR="00E01A1B">
        <w:t xml:space="preserve">is a function which describes the subsurface light transport in translucent materials as the ration between the differential radiance at a given incidence point </w:t>
      </w:r>
      <m:oMath>
        <m:r>
          <w:rPr>
            <w:rFonts w:ascii="Cambria Math" w:hAnsi="Cambria Math"/>
            <w:sz w:val="20"/>
          </w:rPr>
          <m:t>xi</m:t>
        </m:r>
      </m:oMath>
      <w:r w:rsidR="00E01A1B" w:rsidRPr="00E01A1B">
        <w:rPr>
          <w:sz w:val="20"/>
        </w:rPr>
        <w:t xml:space="preserve"> </w:t>
      </w:r>
      <w:r w:rsidR="00E01A1B">
        <w:t xml:space="preserve">and the differential irradiance exit </w:t>
      </w:r>
      <w:r w:rsidR="00B92661">
        <w:t>point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0"/>
          </w:rPr>
          <m:t>xo</m:t>
        </m:r>
      </m:oMath>
      <w:r w:rsidR="00EE7AF0">
        <w:t xml:space="preserve"> </w:t>
      </w:r>
      <w:r w:rsidR="00095696">
        <w:t xml:space="preserve"> </w:t>
      </w:r>
      <w:r w:rsidR="00EE7AF0">
        <w:t>s</w:t>
      </w:r>
      <w:r w:rsidR="006B5AE4">
        <w:t xml:space="preserve">een in </w:t>
      </w:r>
      <w:r w:rsidR="00EE7AF0" w:rsidRPr="00EE7AF0">
        <w:rPr>
          <w:i/>
        </w:rPr>
        <w:t>F</w:t>
      </w:r>
      <w:r w:rsidR="006B5AE4" w:rsidRPr="00EE7AF0">
        <w:rPr>
          <w:i/>
        </w:rPr>
        <w:t xml:space="preserve">igure </w:t>
      </w:r>
      <w:r w:rsidR="00A75C8D">
        <w:rPr>
          <w:i/>
        </w:rPr>
        <w:t>2</w:t>
      </w:r>
      <w:r w:rsidR="006B5AE4">
        <w:t>.</w:t>
      </w:r>
    </w:p>
    <w:p w:rsidR="00EE7AF0" w:rsidRDefault="004F327A" w:rsidP="00411AF4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00F7309" wp14:editId="6BBCC030">
            <wp:simplePos x="0" y="0"/>
            <wp:positionH relativeFrom="margin">
              <wp:posOffset>-133350</wp:posOffset>
            </wp:positionH>
            <wp:positionV relativeFrom="paragraph">
              <wp:posOffset>5400675</wp:posOffset>
            </wp:positionV>
            <wp:extent cx="2980055" cy="2147570"/>
            <wp:effectExtent l="57150" t="57150" r="106045" b="1193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1475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52">
        <w:t>The (analytical) equation that describes BSSRDF is as follows;</w:t>
      </w:r>
    </w:p>
    <w:p w:rsidR="00554EC1" w:rsidRPr="00554EC1" w:rsidRDefault="00554EC1" w:rsidP="00411AF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xo, wo, xi, wi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xo,wo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xi,wi</m:t>
                  </m:r>
                </m:e>
              </m:d>
            </m:den>
          </m:f>
        </m:oMath>
      </m:oMathPara>
    </w:p>
    <w:p w:rsidR="00554EC1" w:rsidRPr="00554EC1" w:rsidRDefault="00B3434D" w:rsidP="00411AF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However, should </w:t>
      </w:r>
      <m:oMath>
        <m:r>
          <w:rPr>
            <w:rFonts w:ascii="Cambria Math" w:eastAsiaTheme="minorEastAsia" w:hAnsi="Cambria Math"/>
          </w:rPr>
          <m:t>xi ≡xo</m:t>
        </m:r>
      </m:oMath>
      <w:r>
        <w:rPr>
          <w:rFonts w:eastAsiaTheme="minorEastAsia"/>
        </w:rPr>
        <w:t xml:space="preserve"> (the incidence point and the exit point</w:t>
      </w:r>
      <w:r w:rsidR="00D308C3">
        <w:rPr>
          <w:rFonts w:eastAsiaTheme="minorEastAsia"/>
        </w:rPr>
        <w:t xml:space="preserve"> be the same</w:t>
      </w:r>
      <w:r>
        <w:rPr>
          <w:rFonts w:eastAsiaTheme="minorEastAsia"/>
        </w:rPr>
        <w:t>), the BSSRDF can be reduced to using BRDF.</w:t>
      </w:r>
    </w:p>
    <w:p w:rsidR="005E683C" w:rsidRPr="0054158B" w:rsidRDefault="005E683C" w:rsidP="005E683C">
      <w:pPr>
        <w:pStyle w:val="Heading2"/>
        <w:rPr>
          <w:color w:val="C00000"/>
        </w:rPr>
      </w:pPr>
      <w:r w:rsidRPr="0054158B">
        <w:rPr>
          <w:color w:val="C00000"/>
        </w:rPr>
        <w:t>Using Shadow Maps for Translucency</w:t>
      </w:r>
    </w:p>
    <w:p w:rsidR="00F00EFA" w:rsidRDefault="00BD2981" w:rsidP="00EE7AF0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27115" wp14:editId="0108ED14">
                <wp:simplePos x="0" y="0"/>
                <wp:positionH relativeFrom="column">
                  <wp:posOffset>-2921000</wp:posOffset>
                </wp:positionH>
                <wp:positionV relativeFrom="paragraph">
                  <wp:posOffset>1433830</wp:posOffset>
                </wp:positionV>
                <wp:extent cx="2428240" cy="433070"/>
                <wp:effectExtent l="0" t="0" r="0" b="50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433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C8D" w:rsidRPr="00D76182" w:rsidRDefault="00A75C8D" w:rsidP="005468B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53724F">
                              <w:rPr>
                                <w:b/>
                              </w:rPr>
                              <w:t>Figure 1</w:t>
                            </w:r>
                            <w:r>
                              <w:t xml:space="preserve">: </w:t>
                            </w:r>
                            <w:r w:rsidR="005468B1">
                              <w:t>The four</w:t>
                            </w:r>
                            <w:r w:rsidR="00062E99">
                              <w:t xml:space="preserve"> basic reflection types: a) diffus</w:t>
                            </w:r>
                            <w:r w:rsidR="005468B1">
                              <w:t>e; b) glossy specular; c) perfectly specular; d) retro-reflection.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230pt;margin-top:112.9pt;width:191.2pt;height:3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" stroked="f">
                <v:textbox inset="0,0,0,0">
                  <w:txbxContent>
                    <w:p w:rsidR="00A75C8D" w:rsidRPr="00D76182" w:rsidRDefault="00A75C8D" w:rsidP="005468B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53724F">
                        <w:rPr>
                          <w:b/>
                        </w:rPr>
                        <w:t>Figure 1</w:t>
                      </w:r>
                      <w:r>
                        <w:t xml:space="preserve">: </w:t>
                      </w:r>
                      <w:r w:rsidR="005468B1">
                        <w:t>The four</w:t>
                      </w:r>
                      <w:r w:rsidR="00062E99">
                        <w:t xml:space="preserve"> basic reflection types: a) diffus</w:t>
                      </w:r>
                      <w:r w:rsidR="005468B1">
                        <w:t>e; b) glossy specular; c) perfectly specular; d) retro-reflection.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76F" w:rsidRPr="008A676F">
        <w:rPr>
          <w:i/>
        </w:rPr>
        <w:t>Translucent Shadow Maps</w:t>
      </w:r>
      <w:r w:rsidR="008A676F">
        <w:rPr>
          <w:i/>
        </w:rPr>
        <w:t xml:space="preserve"> </w:t>
      </w:r>
      <w:r w:rsidR="008A676F">
        <w:t xml:space="preserve">by Dachsbacher and </w:t>
      </w:r>
      <w:r w:rsidR="008A676F" w:rsidRPr="008A676F">
        <w:t>Stamminger</w:t>
      </w:r>
      <w:r w:rsidR="00577390">
        <w:t xml:space="preserve"> </w:t>
      </w:r>
      <w:r w:rsidR="00456CB1">
        <w:t>(</w:t>
      </w:r>
      <w:r w:rsidR="00577390">
        <w:t>2003</w:t>
      </w:r>
      <w:r w:rsidR="00456CB1">
        <w:t>)</w:t>
      </w:r>
      <w:r w:rsidR="008A676F">
        <w:t xml:space="preserve"> proposes to extend the use of the binary shadow map lookup to </w:t>
      </w:r>
      <w:r w:rsidR="00042C63">
        <w:t xml:space="preserve">the </w:t>
      </w:r>
      <w:r w:rsidR="008A676F">
        <w:t>use</w:t>
      </w:r>
      <w:r w:rsidR="00F548B3">
        <w:t xml:space="preserve"> of</w:t>
      </w:r>
      <w:r w:rsidR="008A676F">
        <w:t xml:space="preserve"> a shadow map filter which implements sub-surface scattering.</w:t>
      </w:r>
      <w:r w:rsidR="003C1754">
        <w:t xml:space="preserve"> </w:t>
      </w:r>
      <w:r w:rsidR="0064640B">
        <w:t>A pixel in the translucent shadow map stores the irradiance entering the object as well as storing the traditional depth (and therefore the 3D space of the sample)</w:t>
      </w:r>
      <w:r w:rsidR="007A1EAF">
        <w:t xml:space="preserve"> and the surface normal</w:t>
      </w:r>
      <w:r w:rsidR="00EE7AF0">
        <w:t xml:space="preserve">, seen in </w:t>
      </w:r>
      <w:r w:rsidR="00EE7AF0" w:rsidRPr="00EE7AF0">
        <w:rPr>
          <w:i/>
        </w:rPr>
        <w:t xml:space="preserve">Figure </w:t>
      </w:r>
      <w:r w:rsidR="00AC6597">
        <w:rPr>
          <w:i/>
        </w:rPr>
        <w:t>3</w:t>
      </w:r>
      <w:r w:rsidR="0064640B">
        <w:t>.</w:t>
      </w:r>
    </w:p>
    <w:p w:rsidR="00741EDC" w:rsidRDefault="00741EDC" w:rsidP="00787577">
      <w:pPr>
        <w:ind w:left="360"/>
      </w:pPr>
      <w:r>
        <w:lastRenderedPageBreak/>
        <w:t xml:space="preserve">As with Jensen and Buhler’s solution this process requires multiple render passes. </w:t>
      </w:r>
      <w:r w:rsidR="00531514">
        <w:t xml:space="preserve">In the first pass the </w:t>
      </w:r>
      <w:r w:rsidR="00C30665">
        <w:t xml:space="preserve">translucent </w:t>
      </w:r>
      <w:r w:rsidR="00531514">
        <w:t>shadow map data is computed.</w:t>
      </w:r>
      <w:r w:rsidR="00E8402A">
        <w:t xml:space="preserve"> </w:t>
      </w:r>
      <w:r w:rsidR="004B29C0">
        <w:t xml:space="preserve">Two render targets are used; in the first render target the amount of light penetrating the materials </w:t>
      </w:r>
      <w:r w:rsidR="001919A9">
        <w:t>boundary</w:t>
      </w:r>
      <w:r w:rsidR="004B29C0">
        <w:t xml:space="preserve"> (in the RGB component) is stored.</w:t>
      </w:r>
      <w:r w:rsidR="003E70F5">
        <w:t xml:space="preserve"> The second render target contains the distance from the visible surfaces to the light source (the light space depth-buffer) which parallels with a standard shadow map.</w:t>
      </w:r>
      <w:r w:rsidR="00EF2FAF">
        <w:t xml:space="preserve"> Along with this the two dimensional projection of the surface normal in </w:t>
      </w:r>
      <w:r w:rsidR="00C866E8">
        <w:t>regards</w:t>
      </w:r>
      <w:r w:rsidR="00EF2FAF">
        <w:t xml:space="preserve"> to the orthogonal lights direction is stored as colo</w:t>
      </w:r>
      <w:r w:rsidR="00C866E8">
        <w:t>u</w:t>
      </w:r>
      <w:r w:rsidR="00EF2FAF">
        <w:t>r.</w:t>
      </w:r>
      <w:r w:rsidR="00DE0E06">
        <w:t xml:space="preserve"> </w:t>
      </w:r>
      <w:r w:rsidR="009D494A">
        <w:t>As visible surfaces in the translucent shadow map are facing the light, we can use the stored information to calculate the surface normal.</w:t>
      </w:r>
      <w:r w:rsidR="004150EC">
        <w:t xml:space="preserve"> </w:t>
      </w:r>
    </w:p>
    <w:p w:rsidR="00F27E98" w:rsidRDefault="004150EC" w:rsidP="00787577">
      <w:pPr>
        <w:ind w:left="360"/>
      </w:pPr>
      <w:r>
        <w:t xml:space="preserve">In the second render pass, the local and global </w:t>
      </w:r>
      <w:r w:rsidR="00792450">
        <w:t>responses for all surface points in the camera view are</w:t>
      </w:r>
      <w:r>
        <w:t xml:space="preserve"> evaluated.</w:t>
      </w:r>
      <w:r w:rsidR="0065777F">
        <w:t xml:space="preserve"> </w:t>
      </w:r>
      <w:r w:rsidR="00BC1FF5">
        <w:t>Proceeded</w:t>
      </w:r>
      <w:r w:rsidR="00F043AE">
        <w:t xml:space="preserve"> by the point’</w:t>
      </w:r>
      <w:r w:rsidR="001E3B91">
        <w:t>s coordinate</w:t>
      </w:r>
      <w:r w:rsidR="00F043AE">
        <w:t xml:space="preserve"> being transformed into light space to calculate its texture coordinates in the </w:t>
      </w:r>
      <w:r w:rsidR="00BC1FF5">
        <w:t>previously</w:t>
      </w:r>
      <w:r w:rsidR="00F043AE">
        <w:t xml:space="preserve"> created translucent shadow map</w:t>
      </w:r>
      <w:r w:rsidR="003D5B39">
        <w:t xml:space="preserve"> as well as its distance to the light</w:t>
      </w:r>
      <w:r w:rsidR="00F043AE">
        <w:t>.</w:t>
      </w:r>
      <w:r w:rsidR="00412B1A">
        <w:t xml:space="preserve"> A filter is then applied with different pre-computed weights to integrate the contribution from all sample points in the translucent shadow map. </w:t>
      </w:r>
      <w:r w:rsidR="002454BD">
        <w:t>All these computations are performed in vertex and fragment programs respectively</w:t>
      </w:r>
      <w:r w:rsidR="00412B1A">
        <w:t>, as well as this solution relying on mip-map textures.</w:t>
      </w:r>
      <w:r w:rsidR="00AD3719">
        <w:t xml:space="preserve"> Results from this solution averaged at 40 frames per second when rendering 5,100 </w:t>
      </w:r>
      <w:r w:rsidR="00C80425">
        <w:t>vertices</w:t>
      </w:r>
      <w:r w:rsidR="00AD3719">
        <w:t>.</w:t>
      </w:r>
    </w:p>
    <w:p w:rsidR="00741EDC" w:rsidRDefault="005E4354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70CD0" wp14:editId="2CE3386B">
                <wp:simplePos x="0" y="0"/>
                <wp:positionH relativeFrom="column">
                  <wp:posOffset>173355</wp:posOffset>
                </wp:positionH>
                <wp:positionV relativeFrom="paragraph">
                  <wp:posOffset>-5703570</wp:posOffset>
                </wp:positionV>
                <wp:extent cx="2651760" cy="3308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1EAF" w:rsidRPr="00566ECB" w:rsidRDefault="007A1EAF" w:rsidP="007A1EA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AF1FBA">
                              <w:rPr>
                                <w:b/>
                              </w:rPr>
                              <w:t>Figure</w:t>
                            </w:r>
                            <w:r w:rsidR="00AC6597" w:rsidRPr="00AF1FBA">
                              <w:rPr>
                                <w:b/>
                              </w:rPr>
                              <w:t xml:space="preserve"> 3</w:t>
                            </w:r>
                            <w:r>
                              <w:t>: Contents of a translucent shadow map. Left: Irradiance</w:t>
                            </w:r>
                            <w:r>
                              <w:rPr>
                                <w:noProof/>
                              </w:rPr>
                              <w:t>, Center: Depth, Right: Surface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13.65pt;margin-top:-449.1pt;width:208.8pt;height:2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" stroked="f">
                <v:textbox inset="0,0,0,0">
                  <w:txbxContent>
                    <w:p w:rsidR="007A1EAF" w:rsidRPr="00566ECB" w:rsidRDefault="007A1EAF" w:rsidP="007A1EA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AF1FBA">
                        <w:rPr>
                          <w:b/>
                        </w:rPr>
                        <w:t>Figure</w:t>
                      </w:r>
                      <w:r w:rsidR="00AC6597" w:rsidRPr="00AF1FBA">
                        <w:rPr>
                          <w:b/>
                        </w:rPr>
                        <w:t xml:space="preserve"> 3</w:t>
                      </w:r>
                      <w:r>
                        <w:t>: Contents of a translucent shadow map. Left: Irradiance</w:t>
                      </w:r>
                      <w:r>
                        <w:rPr>
                          <w:noProof/>
                        </w:rPr>
                        <w:t>, Center: Depth, Right: Surface 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FC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7FBB42" wp14:editId="3B3F92AB">
            <wp:simplePos x="0" y="0"/>
            <wp:positionH relativeFrom="column">
              <wp:posOffset>173990</wp:posOffset>
            </wp:positionH>
            <wp:positionV relativeFrom="paragraph">
              <wp:posOffset>-6944360</wp:posOffset>
            </wp:positionV>
            <wp:extent cx="2651760" cy="1097280"/>
            <wp:effectExtent l="57150" t="57150" r="110490" b="1219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9728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974">
        <w:t>Using shadow maps is a liable solution for use with a deferred render</w:t>
      </w:r>
      <w:r w:rsidR="008A3E50">
        <w:t>, depending on hardware limitations as it does require extr</w:t>
      </w:r>
      <w:r w:rsidR="00741EDC">
        <w:t xml:space="preserve">a resources in the </w:t>
      </w:r>
      <w:r w:rsidR="00C80425">
        <w:t>gb</w:t>
      </w:r>
      <w:r w:rsidR="00741EDC">
        <w:t xml:space="preserve">uffer. </w:t>
      </w:r>
      <w:r w:rsidR="002454BD">
        <w:t>As well as</w:t>
      </w:r>
      <w:r w:rsidR="00513BBF">
        <w:t xml:space="preserve"> the</w:t>
      </w:r>
      <w:r w:rsidR="002454BD">
        <w:t xml:space="preserve"> potential hardware </w:t>
      </w:r>
      <w:r w:rsidR="001E446A">
        <w:t>limitations</w:t>
      </w:r>
      <w:r w:rsidR="002454BD">
        <w:t xml:space="preserve">, Dachsbacher and </w:t>
      </w:r>
      <w:r w:rsidR="002454BD" w:rsidRPr="008A676F">
        <w:t>Stamminger</w:t>
      </w:r>
      <w:r w:rsidR="002454BD">
        <w:t>’</w:t>
      </w:r>
      <w:r w:rsidR="001E3B91">
        <w:t xml:space="preserve">s </w:t>
      </w:r>
      <w:r w:rsidR="00513BBF">
        <w:t xml:space="preserve">solution </w:t>
      </w:r>
      <w:r w:rsidR="002454BD">
        <w:t>is restricted to directional light sources.</w:t>
      </w:r>
    </w:p>
    <w:p w:rsidR="00A42CD4" w:rsidRPr="0054158B" w:rsidRDefault="00051528" w:rsidP="00051528">
      <w:pPr>
        <w:pStyle w:val="Heading2"/>
        <w:rPr>
          <w:color w:val="C00000"/>
        </w:rPr>
      </w:pPr>
      <w:r w:rsidRPr="0054158B">
        <w:rPr>
          <w:color w:val="C00000"/>
        </w:rPr>
        <w:t>Texture space sampling and point splatting</w:t>
      </w:r>
    </w:p>
    <w:p w:rsidR="00AD3719" w:rsidRDefault="00051528" w:rsidP="00787577">
      <w:pPr>
        <w:ind w:left="360"/>
      </w:pPr>
      <w:r>
        <w:t xml:space="preserve">Shah presented a different solution in their paper </w:t>
      </w:r>
      <w:r>
        <w:rPr>
          <w:i/>
        </w:rPr>
        <w:t xml:space="preserve">Image-Space Subsurface Scattering for Interactive Rendering of Deformable Translucent Objects </w:t>
      </w:r>
      <w:r w:rsidR="004F2181">
        <w:t>(2009)</w:t>
      </w:r>
      <w:r w:rsidR="007E2D3B">
        <w:t xml:space="preserve"> by the means of texture space sampling and point splatting.</w:t>
      </w:r>
      <w:r w:rsidR="009F03E0">
        <w:t xml:space="preserve"> </w:t>
      </w:r>
    </w:p>
    <w:p w:rsidR="009F03E0" w:rsidRDefault="00C80ACA" w:rsidP="00787577">
      <w:pPr>
        <w:ind w:left="360"/>
      </w:pPr>
      <w:r>
        <w:t>Shah’s solution uses</w:t>
      </w:r>
      <w:r w:rsidR="009F03E0">
        <w:t xml:space="preserve"> two representations of the scene, one from the lights point of view the other from the cameras </w:t>
      </w:r>
      <w:r w:rsidR="00A77A04">
        <w:t>perspective</w:t>
      </w:r>
      <w:r w:rsidR="009F03E0">
        <w:t>.</w:t>
      </w:r>
      <w:r w:rsidR="009874A8">
        <w:t xml:space="preserve"> </w:t>
      </w:r>
      <w:r w:rsidR="00165371">
        <w:t>The scene is rendered twice to get the points at which light is incident and the points can be seen by the camera.</w:t>
      </w:r>
      <w:r w:rsidR="00DD0B7F">
        <w:t xml:space="preserve"> </w:t>
      </w:r>
      <w:r w:rsidR="00405709">
        <w:t>The geometry visible</w:t>
      </w:r>
      <w:r w:rsidR="005C424E">
        <w:t xml:space="preserve"> by</w:t>
      </w:r>
      <w:r w:rsidR="00405709">
        <w:t xml:space="preserve"> the light is then sampled for Irradiance and then stored</w:t>
      </w:r>
      <w:r w:rsidR="009A30B0">
        <w:t xml:space="preserve"> in a texture, as well as screen aligned quads being positioned at the centre sample points.</w:t>
      </w:r>
      <w:r w:rsidR="009942D7">
        <w:t xml:space="preserve"> These quads are then used to shade the points visible to the camera, using the diffusion approximation originally proposed by Jensen </w:t>
      </w:r>
      <w:r w:rsidR="00D45366">
        <w:t>(2001) or Donner’s (2006)</w:t>
      </w:r>
      <w:r w:rsidR="009942D7">
        <w:t xml:space="preserve"> adaptation.</w:t>
      </w:r>
      <w:r w:rsidR="00D47443">
        <w:t xml:space="preserve"> Resulting in light transport toward the viewer being approximated from sampled irradiance.</w:t>
      </w:r>
      <w:r w:rsidR="007A677F">
        <w:t xml:space="preserve"> </w:t>
      </w:r>
    </w:p>
    <w:p w:rsidR="00B85D4E" w:rsidRPr="0054158B" w:rsidRDefault="00B85D4E" w:rsidP="00B85D4E">
      <w:pPr>
        <w:pStyle w:val="Heading2"/>
        <w:rPr>
          <w:color w:val="C00000"/>
        </w:rPr>
      </w:pPr>
      <w:r w:rsidRPr="0054158B">
        <w:rPr>
          <w:color w:val="C00000"/>
        </w:rPr>
        <w:t>Pre-computation of geometry thickness</w:t>
      </w:r>
    </w:p>
    <w:p w:rsidR="00BD2981" w:rsidRDefault="00D960F6" w:rsidP="00787577">
      <w:pPr>
        <w:ind w:left="360"/>
      </w:pPr>
      <w:r>
        <w:t>Colin Barr</w:t>
      </w:r>
      <w:r>
        <w:rPr>
          <w:rFonts w:cstheme="minorHAnsi"/>
        </w:rPr>
        <w:t>έ</w:t>
      </w:r>
      <w:r>
        <w:t>-Brisebois</w:t>
      </w:r>
      <w:r w:rsidR="005C6F83">
        <w:t xml:space="preserve"> (2011)</w:t>
      </w:r>
      <w:r>
        <w:t xml:space="preserve"> presented at GDC (Game Developers Conference) about how translucency and subsurface scattering is implemented in th</w:t>
      </w:r>
      <w:r w:rsidR="004A1D19">
        <w:t>e</w:t>
      </w:r>
      <w:r>
        <w:t xml:space="preserve"> deferred render</w:t>
      </w:r>
      <w:r w:rsidR="00200501">
        <w:t>er</w:t>
      </w:r>
      <w:r>
        <w:t xml:space="preserve"> Frostbite 2.</w:t>
      </w:r>
      <w:r w:rsidR="00E61D7E">
        <w:t xml:space="preserve"> </w:t>
      </w:r>
    </w:p>
    <w:p w:rsidR="00C24904" w:rsidRDefault="00C24904" w:rsidP="00787577">
      <w:pPr>
        <w:ind w:left="360"/>
      </w:pPr>
      <w:r>
        <w:t>Barr</w:t>
      </w:r>
      <w:r>
        <w:rPr>
          <w:rFonts w:cstheme="minorHAnsi"/>
        </w:rPr>
        <w:t>έ</w:t>
      </w:r>
      <w:r>
        <w:t>-Brisebois proposed that similar to other translucency solutions, BSSRDFs are too expensive on current hardware, and therefore should be used alongside the simpler BRDF</w:t>
      </w:r>
      <w:r w:rsidR="008B7490">
        <w:t>, as seen in</w:t>
      </w:r>
      <w:r w:rsidR="00473920">
        <w:t xml:space="preserve"> Figure 4</w:t>
      </w:r>
      <w:r>
        <w:t>.</w:t>
      </w:r>
    </w:p>
    <w:p w:rsidR="005E3E31" w:rsidRDefault="00BD2981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95CB8" wp14:editId="26B6E62C">
                <wp:simplePos x="0" y="0"/>
                <wp:positionH relativeFrom="column">
                  <wp:posOffset>324485</wp:posOffset>
                </wp:positionH>
                <wp:positionV relativeFrom="paragraph">
                  <wp:posOffset>2934335</wp:posOffset>
                </wp:positionV>
                <wp:extent cx="2148205" cy="635"/>
                <wp:effectExtent l="0" t="0" r="444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E31" w:rsidRPr="00164229" w:rsidRDefault="00AE3E31" w:rsidP="00AE3E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675C6E">
                              <w:rPr>
                                <w:b/>
                              </w:rPr>
                              <w:t>Figure 4</w:t>
                            </w:r>
                            <w:r>
                              <w:t>: BSSRDF, BRDF and BTDF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left:0;text-align:left;margin-left:25.55pt;margin-top:231.05pt;width:169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" stroked="f">
                <v:textbox style="mso-fit-shape-to-text:t" inset="0,0,0,0">
                  <w:txbxContent>
                    <w:p w:rsidR="00AE3E31" w:rsidRPr="00164229" w:rsidRDefault="00AE3E31" w:rsidP="00AE3E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675C6E">
                        <w:rPr>
                          <w:b/>
                        </w:rPr>
                        <w:t>Figure 4</w:t>
                      </w:r>
                      <w:r>
                        <w:t>: BSSRDF, BRDF and BTDF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1A8EC0B" wp14:editId="58743577">
            <wp:simplePos x="0" y="0"/>
            <wp:positionH relativeFrom="column">
              <wp:posOffset>393065</wp:posOffset>
            </wp:positionH>
            <wp:positionV relativeFrom="paragraph">
              <wp:posOffset>138430</wp:posOffset>
            </wp:positionV>
            <wp:extent cx="2000250" cy="2708910"/>
            <wp:effectExtent l="57150" t="57150" r="114300" b="1104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089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26E">
        <w:t>The solution by Barr</w:t>
      </w:r>
      <w:r w:rsidR="0019426E">
        <w:rPr>
          <w:rFonts w:cstheme="minorHAnsi"/>
        </w:rPr>
        <w:t>έ</w:t>
      </w:r>
      <w:r w:rsidR="0019426E">
        <w:t>-Brisebois</w:t>
      </w:r>
      <w:r w:rsidR="003A7563">
        <w:t xml:space="preserve"> </w:t>
      </w:r>
      <w:r w:rsidR="0019426E">
        <w:t xml:space="preserve">wanted to </w:t>
      </w:r>
      <w:r w:rsidR="00E465E4">
        <w:t xml:space="preserve">create realistic looking translucency whilst </w:t>
      </w:r>
      <w:r w:rsidR="0019426E">
        <w:t>avoid</w:t>
      </w:r>
      <w:r w:rsidR="006C436D">
        <w:t>ing the</w:t>
      </w:r>
      <w:r w:rsidR="0019426E">
        <w:t xml:space="preserve"> us</w:t>
      </w:r>
      <w:r w:rsidR="006C436D">
        <w:t>e of</w:t>
      </w:r>
      <w:r w:rsidR="0019426E">
        <w:t xml:space="preserve"> addition overheads</w:t>
      </w:r>
      <w:r w:rsidR="0024697D">
        <w:t xml:space="preserve"> (</w:t>
      </w:r>
      <w:r w:rsidR="00527BAC">
        <w:t>a</w:t>
      </w:r>
      <w:r w:rsidR="0024697D">
        <w:t>dditional memory and or additional computational time)</w:t>
      </w:r>
      <w:r w:rsidR="0019426E">
        <w:t xml:space="preserve"> caused by additional depth maps and or texture-based blurs, </w:t>
      </w:r>
      <w:r w:rsidR="00624866">
        <w:t>commonly</w:t>
      </w:r>
      <w:r w:rsidR="0019426E">
        <w:t xml:space="preserve"> used in other real-time solutions.</w:t>
      </w:r>
      <w:r w:rsidR="00624866">
        <w:t xml:space="preserve"> </w:t>
      </w:r>
    </w:p>
    <w:p w:rsidR="00C24904" w:rsidRDefault="00CF00CB" w:rsidP="00787577">
      <w:pPr>
        <w:ind w:left="360"/>
      </w:pPr>
      <w:r>
        <w:t>The basics of the solution</w:t>
      </w:r>
      <w:r w:rsidR="00196A72">
        <w:t xml:space="preserve"> simply</w:t>
      </w:r>
      <w:r w:rsidR="0099109E">
        <w:t xml:space="preserve"> wanted to combine simpler techniques to approximate </w:t>
      </w:r>
      <w:r w:rsidR="00F05363">
        <w:t>translucency</w:t>
      </w:r>
      <w:r w:rsidR="0099109E">
        <w:t xml:space="preserve"> in the scene. Two basic rules where suggested; Light passing through the translucent object should be </w:t>
      </w:r>
      <w:r w:rsidR="00F05363">
        <w:t>influenced</w:t>
      </w:r>
      <w:r w:rsidR="0099109E">
        <w:t xml:space="preserve"> by the objects varying thickness, </w:t>
      </w:r>
      <w:r w:rsidR="00C932D5">
        <w:t xml:space="preserve">as well as some view and light dependent diffusion and attenuation. </w:t>
      </w:r>
      <w:r w:rsidR="00C00733">
        <w:t>With said rules, translucency can be approximated creating a convincing render, as well as the implementation being cheap (resource wise) resulting in mass use of the technique.</w:t>
      </w:r>
    </w:p>
    <w:p w:rsidR="00095A46" w:rsidRDefault="00753CEF" w:rsidP="00787577">
      <w:pPr>
        <w:ind w:left="360"/>
      </w:pPr>
      <w:r>
        <w:t>The technique is required to know the thickness of a translucent object light should pass through. Rather than using a depth map to calculate this, Barr</w:t>
      </w:r>
      <w:r>
        <w:rPr>
          <w:rFonts w:cstheme="minorHAnsi"/>
        </w:rPr>
        <w:t>έ</w:t>
      </w:r>
      <w:r>
        <w:t xml:space="preserve">-Brisebois proposes that the depth should be pre-computed by external software </w:t>
      </w:r>
      <w:r>
        <w:lastRenderedPageBreak/>
        <w:t>(such as 3ds Max or Maya). By inverting the normals of a models geometry and rendering ambient occlusion, the texture created approximated how much light travelling inside the object would get occluded at the point it exits the object.</w:t>
      </w:r>
    </w:p>
    <w:p w:rsidR="00753CEF" w:rsidRDefault="007A354C" w:rsidP="00787577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0FFA6002" wp14:editId="1341F5EF">
            <wp:simplePos x="0" y="0"/>
            <wp:positionH relativeFrom="column">
              <wp:posOffset>329565</wp:posOffset>
            </wp:positionH>
            <wp:positionV relativeFrom="paragraph">
              <wp:posOffset>944880</wp:posOffset>
            </wp:positionV>
            <wp:extent cx="2014855" cy="1963420"/>
            <wp:effectExtent l="57150" t="57150" r="118745" b="11303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9634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A1D20" wp14:editId="4B6C2CAA">
                <wp:simplePos x="0" y="0"/>
                <wp:positionH relativeFrom="column">
                  <wp:posOffset>192405</wp:posOffset>
                </wp:positionH>
                <wp:positionV relativeFrom="paragraph">
                  <wp:posOffset>2978150</wp:posOffset>
                </wp:positionV>
                <wp:extent cx="2286000" cy="295275"/>
                <wp:effectExtent l="0" t="0" r="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86E" w:rsidRPr="003A6885" w:rsidRDefault="00B2386E" w:rsidP="00B2386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FD69AB">
                              <w:rPr>
                                <w:b/>
                              </w:rPr>
                              <w:t>Figure 5</w:t>
                            </w:r>
                            <w:r>
                              <w:t xml:space="preserve">: An Example of a pre-computed </w:t>
                            </w:r>
                            <w:r w:rsidR="005F7A47">
                              <w:t xml:space="preserve">local </w:t>
                            </w:r>
                            <w:r>
                              <w:t>thickness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15.15pt;margin-top:234.5pt;width:180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" stroked="f">
                <v:textbox inset="0,0,0,0">
                  <w:txbxContent>
                    <w:p w:rsidR="00B2386E" w:rsidRPr="003A6885" w:rsidRDefault="00B2386E" w:rsidP="00B2386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FD69AB">
                        <w:rPr>
                          <w:b/>
                        </w:rPr>
                        <w:t>Figure 5</w:t>
                      </w:r>
                      <w:r>
                        <w:t xml:space="preserve">: An Example of a pre-computed </w:t>
                      </w:r>
                      <w:r w:rsidR="005F7A47">
                        <w:t xml:space="preserve">local </w:t>
                      </w:r>
                      <w:r>
                        <w:t>thickness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016">
        <w:t>The resulting texture will show two types of areas: Lighter white are</w:t>
      </w:r>
      <w:r w:rsidR="004A5D3E">
        <w:t>a</w:t>
      </w:r>
      <w:r w:rsidR="00C36016">
        <w:t>s of translucency and darker areas of opaqueness</w:t>
      </w:r>
      <w:r w:rsidR="005A3335">
        <w:t>, seen in</w:t>
      </w:r>
      <w:r w:rsidR="00C36016">
        <w:t xml:space="preserve"> Figure 5.</w:t>
      </w:r>
    </w:p>
    <w:p w:rsidR="000D7048" w:rsidRDefault="000D7048" w:rsidP="00787577">
      <w:pPr>
        <w:ind w:left="360"/>
      </w:pPr>
      <w:r>
        <w:t>The basics of computing the translucency can be described by the following equation:</w:t>
      </w:r>
    </w:p>
    <w:p w:rsidR="007767E2" w:rsidRDefault="000D7048" w:rsidP="00787577">
      <w:pPr>
        <w:ind w:left="360"/>
      </w:pPr>
      <m:oMathPara>
        <m:oMath>
          <m:r>
            <w:rPr>
              <w:rFonts w:ascii="Cambria Math" w:hAnsi="Cambria Math"/>
            </w:rPr>
            <m:t>LAttenuation(N.L+V.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B0800" w:rsidRDefault="006B0800" w:rsidP="00787577">
      <w:pPr>
        <w:ind w:left="360"/>
      </w:pPr>
      <w:r>
        <w:t>The implementation itself contains four variants specified per light as well as the local thickness maps value at the sampled point</w:t>
      </w:r>
      <w:r w:rsidR="00B0400A">
        <w:t>, an overview of the code can be seen in</w:t>
      </w:r>
      <w:r w:rsidR="002C09E6">
        <w:t xml:space="preserve"> Figure 7</w:t>
      </w:r>
      <w:r>
        <w:t>.</w:t>
      </w:r>
      <w:r w:rsidR="00597F70">
        <w:t xml:space="preserve"> The four variants are as follows;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Scale</w:t>
      </w:r>
      <w:r w:rsidR="001046E2">
        <w:t xml:space="preserve"> – A scale applied to the light passing through the translucent object.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Power</w:t>
      </w:r>
      <w:r w:rsidR="005E682B">
        <w:t xml:space="preserve"> – The Power of the direct translucency, breaking continuity.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Distortion</w:t>
      </w:r>
      <w:r w:rsidR="00FC283B">
        <w:t xml:space="preserve"> – Shifts the surface normal to break continuity.</w:t>
      </w:r>
    </w:p>
    <w:p w:rsidR="006A27C6" w:rsidRDefault="00597F70" w:rsidP="00FC283B">
      <w:pPr>
        <w:pStyle w:val="ListParagraph"/>
        <w:numPr>
          <w:ilvl w:val="0"/>
          <w:numId w:val="2"/>
        </w:numPr>
      </w:pPr>
      <w:r>
        <w:t>Ambient</w:t>
      </w:r>
      <w:r w:rsidR="0078147F">
        <w:t xml:space="preserve"> – The ambient value of the translucent object</w:t>
      </w:r>
    </w:p>
    <w:p w:rsidR="00237BAA" w:rsidRDefault="002C09E6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120DC" wp14:editId="22F66BEB">
                <wp:simplePos x="0" y="0"/>
                <wp:positionH relativeFrom="column">
                  <wp:posOffset>226695</wp:posOffset>
                </wp:positionH>
                <wp:positionV relativeFrom="paragraph">
                  <wp:posOffset>650240</wp:posOffset>
                </wp:positionV>
                <wp:extent cx="540321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9E6" w:rsidRPr="00FA5CC3" w:rsidRDefault="002C09E6" w:rsidP="002C09E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FD69AB">
                              <w:rPr>
                                <w:b/>
                              </w:rPr>
                              <w:t>Figure 7</w:t>
                            </w:r>
                            <w:r>
                              <w:t>: Code snippet from the fragment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2120DC" id="Text Box 19" o:spid="_x0000_s1031" type="#_x0000_t202" style="position:absolute;left:0;text-align:left;margin-left:17.85pt;margin-top:51.2pt;width:425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" stroked="f">
                <v:textbox style="mso-fit-shape-to-text:t" inset="0,0,0,0">
                  <w:txbxContent>
                    <w:p w:rsidR="002C09E6" w:rsidRPr="00FA5CC3" w:rsidRDefault="002C09E6" w:rsidP="002C09E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FD69AB">
                        <w:rPr>
                          <w:b/>
                        </w:rPr>
                        <w:t>Figure 7</w:t>
                      </w:r>
                      <w:r>
                        <w:t>: Code snippet from the fragment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D40">
        <w:rPr>
          <w:noProof/>
          <w:lang w:eastAsia="en-GB"/>
        </w:rPr>
        <w:drawing>
          <wp:anchor distT="180340" distB="180340" distL="114300" distR="114300" simplePos="0" relativeHeight="251677696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403600" cy="536400"/>
            <wp:effectExtent l="57150" t="57150" r="102235" b="11176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53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325">
        <w:t xml:space="preserve">This solution is far from mathematically correct, but is convincing and flexible enough to suit </w:t>
      </w:r>
      <w:r w:rsidR="006E4E0D">
        <w:t xml:space="preserve">for current graphical </w:t>
      </w:r>
      <w:r w:rsidR="00792450">
        <w:t>hardware;</w:t>
      </w:r>
      <w:r w:rsidR="006E4E0D">
        <w:t xml:space="preserve"> however this technique does not work with concavities</w:t>
      </w:r>
      <w:r w:rsidR="001A796A">
        <w:t xml:space="preserve"> </w:t>
      </w:r>
      <w:r w:rsidR="00792450">
        <w:t>or</w:t>
      </w:r>
      <w:r w:rsidR="001A796A">
        <w:t xml:space="preserve"> animated objects.</w:t>
      </w:r>
    </w:p>
    <w:p w:rsidR="00ED12AC" w:rsidRDefault="00ED12AC" w:rsidP="00787577">
      <w:pPr>
        <w:ind w:left="360"/>
      </w:pPr>
      <w:r>
        <w:t>As previously stated this technique is designed for a deferred rendering pipeline, using up one channel in a gbuffer (or three channels should the translucency also contain the colour of the translucent object</w:t>
      </w:r>
      <w:r w:rsidR="00014CCC">
        <w:t>, an example can be seen in</w:t>
      </w:r>
      <w:r w:rsidR="00A4464F">
        <w:t xml:space="preserve"> Figure 6</w:t>
      </w:r>
      <w:r>
        <w:t>).</w:t>
      </w:r>
    </w:p>
    <w:p w:rsidR="00BA7ADD" w:rsidRDefault="0078522E" w:rsidP="00787577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0ED3D" wp14:editId="5AAA1281">
                <wp:simplePos x="0" y="0"/>
                <wp:positionH relativeFrom="column">
                  <wp:posOffset>1904155</wp:posOffset>
                </wp:positionH>
                <wp:positionV relativeFrom="paragraph">
                  <wp:posOffset>324477</wp:posOffset>
                </wp:positionV>
                <wp:extent cx="723900" cy="58547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85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36B" w:rsidRPr="00A70EBC" w:rsidRDefault="0039436B" w:rsidP="003943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25B72">
                              <w:rPr>
                                <w:b/>
                              </w:rPr>
                              <w:t>Figure 6</w:t>
                            </w:r>
                            <w:r>
                              <w:t>: An example of a coloured local thickness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50ED3D" id="Text Box 17" o:spid="_x0000_s1032" type="#_x0000_t202" style="position:absolute;left:0;text-align:left;margin-left:149.95pt;margin-top:25.55pt;width:57pt;height:4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" stroked="f">
                <v:textbox inset="0,0,0,0">
                  <w:txbxContent>
                    <w:p w:rsidR="0039436B" w:rsidRPr="00A70EBC" w:rsidRDefault="0039436B" w:rsidP="0039436B">
                      <w:pPr>
                        <w:pStyle w:val="Caption"/>
                        <w:rPr>
                          <w:noProof/>
                        </w:rPr>
                      </w:pPr>
                      <w:r w:rsidRPr="00225B72">
                        <w:rPr>
                          <w:b/>
                        </w:rPr>
                        <w:t>Figure 6</w:t>
                      </w:r>
                      <w:r>
                        <w:t>: An example of a coloured local thickness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FAC7332" wp14:editId="25CC37CE">
            <wp:simplePos x="0" y="0"/>
            <wp:positionH relativeFrom="column">
              <wp:posOffset>141605</wp:posOffset>
            </wp:positionH>
            <wp:positionV relativeFrom="paragraph">
              <wp:posOffset>62409</wp:posOffset>
            </wp:positionV>
            <wp:extent cx="1629410" cy="1123950"/>
            <wp:effectExtent l="57150" t="57150" r="123190" b="1143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123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ADD" w:rsidRDefault="00BA7ADD" w:rsidP="00787577">
      <w:pPr>
        <w:ind w:left="360"/>
      </w:pPr>
    </w:p>
    <w:p w:rsidR="00DD4264" w:rsidRDefault="00DD4264" w:rsidP="00787577">
      <w:pPr>
        <w:ind w:left="360"/>
      </w:pPr>
    </w:p>
    <w:p w:rsidR="0039436B" w:rsidRPr="0054158B" w:rsidRDefault="00BA7ADD" w:rsidP="00BA7ADD">
      <w:pPr>
        <w:pStyle w:val="Heading2"/>
        <w:rPr>
          <w:color w:val="C00000"/>
        </w:rPr>
      </w:pPr>
      <w:r w:rsidRPr="0054158B">
        <w:rPr>
          <w:color w:val="C00000"/>
        </w:rPr>
        <w:t>Conclusion</w:t>
      </w:r>
    </w:p>
    <w:p w:rsidR="00F112C5" w:rsidRDefault="00DF2D1A" w:rsidP="00787577">
      <w:pPr>
        <w:ind w:left="360"/>
      </w:pPr>
      <w:r>
        <w:t xml:space="preserve">As with most computer graphics the implementation of </w:t>
      </w:r>
      <w:r w:rsidR="00F81458">
        <w:t xml:space="preserve">a </w:t>
      </w:r>
      <w:r>
        <w:t xml:space="preserve">feature lies heavily on its uses. </w:t>
      </w:r>
    </w:p>
    <w:p w:rsidR="00321020" w:rsidRDefault="00DF2D1A" w:rsidP="00787577">
      <w:pPr>
        <w:ind w:left="360"/>
      </w:pPr>
      <w:r>
        <w:t>With my past experience working on a tool and engine system, the solution proposed by Barr</w:t>
      </w:r>
      <w:r>
        <w:rPr>
          <w:rFonts w:cstheme="minorHAnsi"/>
        </w:rPr>
        <w:t>έ</w:t>
      </w:r>
      <w:r>
        <w:t>-Brisebois</w:t>
      </w:r>
      <w:r w:rsidR="00F112C5">
        <w:t>,</w:t>
      </w:r>
      <w:r>
        <w:t xml:space="preserve"> and used in the Frostbite engine seems like the best solution for a large scale engine and tool system, allowing artists to easily change the translucency and appearance of an object. </w:t>
      </w:r>
    </w:p>
    <w:p w:rsidR="00321020" w:rsidRDefault="00DF2D1A" w:rsidP="00787577">
      <w:pPr>
        <w:ind w:left="360"/>
      </w:pPr>
      <w:r>
        <w:t xml:space="preserve">That being said, the implementation that I am likely to design will not have any pre-computation (due to not having a tools system in place), and should instead calculate translucency from data available within the scene. Tending me to believe that depth maps </w:t>
      </w:r>
      <w:r w:rsidR="00FA61C2">
        <w:t>c</w:t>
      </w:r>
      <w:r>
        <w:t>o</w:t>
      </w:r>
      <w:r w:rsidR="00FA61C2">
        <w:t>u</w:t>
      </w:r>
      <w:r>
        <w:t xml:space="preserve">ld be a global solution </w:t>
      </w:r>
      <w:r w:rsidR="009F661E">
        <w:t xml:space="preserve">for all </w:t>
      </w:r>
      <w:r w:rsidR="00792450">
        <w:t>scenes</w:t>
      </w:r>
      <w:r w:rsidR="009F661E">
        <w:t xml:space="preserve"> yet </w:t>
      </w:r>
      <w:r w:rsidR="00792450">
        <w:t>is</w:t>
      </w:r>
      <w:r w:rsidR="009F661E">
        <w:t xml:space="preserve"> limited by only working with directional lighting</w:t>
      </w:r>
      <w:r>
        <w:t>.</w:t>
      </w:r>
      <w:bookmarkStart w:id="0" w:name="_GoBack"/>
      <w:bookmarkEnd w:id="0"/>
    </w:p>
    <w:p w:rsidR="000B0AEC" w:rsidRDefault="00CD02B0" w:rsidP="00787577">
      <w:pPr>
        <w:ind w:left="360"/>
      </w:pPr>
      <w:r>
        <w:t>To</w:t>
      </w:r>
      <w:r w:rsidR="00B056F2">
        <w:t xml:space="preserve"> maintain a high level of performance, whilst being </w:t>
      </w:r>
      <w:r w:rsidR="003D647B">
        <w:t>flexible</w:t>
      </w:r>
      <w:r w:rsidR="00B056F2">
        <w:t xml:space="preserve"> a solution would be to use the approximations for BSSRDF suggested by Barr</w:t>
      </w:r>
      <w:r w:rsidR="00B056F2">
        <w:rPr>
          <w:rFonts w:cstheme="minorHAnsi"/>
        </w:rPr>
        <w:t>έ</w:t>
      </w:r>
      <w:r w:rsidR="00B056F2">
        <w:t>-Brisebois but using a depth map to calculate the local thickness of the scene.</w:t>
      </w:r>
      <w:r w:rsidR="001B036A">
        <w:t xml:space="preserve"> </w:t>
      </w:r>
    </w:p>
    <w:p w:rsidR="00B056F2" w:rsidRDefault="001B036A" w:rsidP="00787577">
      <w:pPr>
        <w:ind w:left="360"/>
      </w:pPr>
      <w:r>
        <w:t>This technique would have the additional computational and resource overheads required when using additional depth maps, but has the flexibility to work with any scene without pre-computation of the geometry.</w:t>
      </w:r>
      <w:r w:rsidR="00CC40E0">
        <w:t xml:space="preserve"> This </w:t>
      </w:r>
      <w:r w:rsidR="005A0725">
        <w:t xml:space="preserve">solution </w:t>
      </w:r>
      <w:r w:rsidR="00CC40E0">
        <w:t>would result in not being able to adjust the local thickness maps</w:t>
      </w:r>
      <w:r w:rsidR="005A0725">
        <w:t xml:space="preserve"> manually</w:t>
      </w:r>
      <w:r w:rsidR="00CC40E0">
        <w:t xml:space="preserve">, </w:t>
      </w:r>
      <w:r w:rsidR="005A0725">
        <w:t>but</w:t>
      </w:r>
      <w:r w:rsidR="00CC40E0">
        <w:t xml:space="preserve"> the colour of the translucency could be approximated from the material applied to the translucent object.</w:t>
      </w:r>
    </w:p>
    <w:p w:rsidR="0023228A" w:rsidRPr="0054158B" w:rsidRDefault="0071501D" w:rsidP="0023228A">
      <w:pPr>
        <w:pStyle w:val="Heading2"/>
        <w:rPr>
          <w:color w:val="C00000"/>
        </w:rPr>
      </w:pPr>
      <w:r w:rsidRPr="0054158B">
        <w:rPr>
          <w:color w:val="C00000"/>
        </w:rPr>
        <w:t>References</w:t>
      </w:r>
    </w:p>
    <w:p w:rsidR="0071501D" w:rsidRDefault="0071501D" w:rsidP="0071501D">
      <w:pPr>
        <w:ind w:left="360"/>
      </w:pPr>
      <w:r w:rsidRPr="0071501D">
        <w:t xml:space="preserve">Jensen, H.W. (2001) 'A Practical Model </w:t>
      </w:r>
      <w:r>
        <w:t>for Subsurface Light Transport'</w:t>
      </w:r>
      <w:r w:rsidR="00875D07">
        <w:t xml:space="preserve">, </w:t>
      </w:r>
      <w:r w:rsidR="00875D07" w:rsidRPr="00875D07">
        <w:t>SIGGRAPH</w:t>
      </w:r>
      <w:r w:rsidRPr="0071501D">
        <w:t>.</w:t>
      </w:r>
    </w:p>
    <w:p w:rsidR="00875D07" w:rsidRDefault="00875D07" w:rsidP="0071501D">
      <w:pPr>
        <w:ind w:left="360"/>
      </w:pPr>
      <w:r w:rsidRPr="00875D07">
        <w:t>Jensen, H.W. and Buhler, J. (2002) 'A rapid hierarchical rendering technique for translucent materials', ACM Transactions on Graphics, 21(3).</w:t>
      </w:r>
    </w:p>
    <w:p w:rsidR="00BE5B58" w:rsidRDefault="00BE5B58" w:rsidP="0071501D">
      <w:pPr>
        <w:ind w:left="360"/>
      </w:pPr>
      <w:r w:rsidRPr="00BE5B58">
        <w:t>Dachsbacher, C. and Stamminger, M. (2003) 'Translucent Shadow Maps', Euro</w:t>
      </w:r>
      <w:r>
        <w:t>graphics Symposium on Rendering</w:t>
      </w:r>
      <w:r w:rsidRPr="00BE5B58">
        <w:t>.</w:t>
      </w:r>
    </w:p>
    <w:p w:rsidR="00FD0AD2" w:rsidRDefault="00FD0AD2" w:rsidP="0071501D">
      <w:pPr>
        <w:ind w:left="360"/>
      </w:pPr>
      <w:r>
        <w:t xml:space="preserve">Lensch, H. (2002) </w:t>
      </w:r>
      <w:r w:rsidRPr="00FD0AD2">
        <w:t>'Interactive Rendering of Translucent Objects</w:t>
      </w:r>
      <w:r w:rsidRPr="00BE5B58">
        <w:t xml:space="preserve">', </w:t>
      </w:r>
      <w:r w:rsidRPr="00FD0AD2">
        <w:t>Paci</w:t>
      </w:r>
      <w:r>
        <w:t>f</w:t>
      </w:r>
      <w:r w:rsidR="001F2399">
        <w:t>i</w:t>
      </w:r>
      <w:r w:rsidRPr="00FD0AD2">
        <w:t>c Graphics</w:t>
      </w:r>
      <w:r w:rsidR="0099486A">
        <w:t>, 214-224</w:t>
      </w:r>
      <w:r w:rsidRPr="00BE5B58">
        <w:t>.</w:t>
      </w:r>
    </w:p>
    <w:p w:rsidR="00117CED" w:rsidRDefault="006E3179" w:rsidP="001C64D1">
      <w:pPr>
        <w:ind w:left="360"/>
      </w:pPr>
      <w:r>
        <w:t xml:space="preserve">Donner, C. S. (2006) </w:t>
      </w:r>
      <w:r w:rsidRPr="00BE5B58">
        <w:t>'</w:t>
      </w:r>
      <w:r>
        <w:rPr>
          <w:rFonts w:ascii="F38" w:hAnsi="F38" w:cs="F38"/>
          <w:sz w:val="20"/>
          <w:szCs w:val="20"/>
        </w:rPr>
        <w:t xml:space="preserve">Towards Realistic Image Synthesis of </w:t>
      </w:r>
      <w:r w:rsidRPr="006E3179">
        <w:rPr>
          <w:rFonts w:ascii="F38" w:hAnsi="F38" w:cs="F38"/>
          <w:sz w:val="20"/>
          <w:szCs w:val="20"/>
        </w:rPr>
        <w:t>Scattering Materials</w:t>
      </w:r>
      <w:r w:rsidRPr="00BE5B58">
        <w:t>'</w:t>
      </w:r>
      <w:r>
        <w:t xml:space="preserve">, </w:t>
      </w:r>
      <w:r w:rsidRPr="006E3179">
        <w:t>PhD thesis, University of California, San Diego</w:t>
      </w:r>
      <w:r>
        <w:t>.</w:t>
      </w:r>
    </w:p>
    <w:p w:rsidR="006B44EB" w:rsidRDefault="006B44EB" w:rsidP="006B44EB">
      <w:pPr>
        <w:ind w:left="360"/>
      </w:pPr>
      <w:r>
        <w:t xml:space="preserve">Shah, M. A. (2009) </w:t>
      </w:r>
      <w:r w:rsidRPr="00BE5B58">
        <w:t>'</w:t>
      </w:r>
      <w:r w:rsidRPr="006B44EB">
        <w:t xml:space="preserve">Image-Space Subsurface Scattering for Interactive </w:t>
      </w:r>
      <w:r w:rsidRPr="006B44EB">
        <w:lastRenderedPageBreak/>
        <w:t>Rendering of Deformable Translucent Objects</w:t>
      </w:r>
      <w:r w:rsidRPr="00BE5B58">
        <w:t>'</w:t>
      </w:r>
      <w:r>
        <w:t xml:space="preserve">, </w:t>
      </w:r>
      <w:r w:rsidRPr="006B44EB">
        <w:t>IEEE Computer Graphics and Applications</w:t>
      </w:r>
      <w:r>
        <w:t>.</w:t>
      </w:r>
    </w:p>
    <w:p w:rsidR="00D622E6" w:rsidRDefault="00D622E6" w:rsidP="00D622E6">
      <w:pPr>
        <w:ind w:left="360"/>
      </w:pPr>
      <w:r>
        <w:t xml:space="preserve">Rohat, M. (2012) </w:t>
      </w:r>
      <w:r w:rsidRPr="0071501D">
        <w:t>'</w:t>
      </w:r>
      <w:r>
        <w:t>Real-time Rendering of Translucent Materials</w:t>
      </w:r>
      <w:r w:rsidRPr="0071501D">
        <w:t>'</w:t>
      </w:r>
      <w:r>
        <w:t xml:space="preserve">, </w:t>
      </w:r>
      <w:r w:rsidRPr="00D622E6">
        <w:t>Master's thesis</w:t>
      </w:r>
      <w:r>
        <w:t xml:space="preserve">, </w:t>
      </w:r>
      <w:r w:rsidRPr="00D622E6">
        <w:t>Technical University of Denmark</w:t>
      </w:r>
      <w:r>
        <w:t>.</w:t>
      </w:r>
    </w:p>
    <w:p w:rsidR="00771CA2" w:rsidRDefault="00771CA2" w:rsidP="00D622E6">
      <w:pPr>
        <w:ind w:left="360"/>
      </w:pPr>
      <w:r>
        <w:t>Barr</w:t>
      </w:r>
      <w:r>
        <w:rPr>
          <w:rFonts w:cstheme="minorHAnsi"/>
        </w:rPr>
        <w:t>έ</w:t>
      </w:r>
      <w:r>
        <w:t xml:space="preserve">-Brisebois, C. (2011) </w:t>
      </w:r>
      <w:r w:rsidRPr="0071501D">
        <w:t>'</w:t>
      </w:r>
      <w:r w:rsidRPr="00771CA2">
        <w:t>Approximating Translucency for a Fast, Cheap and Convincing Subsurface-Scattering Look</w:t>
      </w:r>
      <w:r w:rsidRPr="0071501D">
        <w:t>'</w:t>
      </w:r>
      <w:r>
        <w:t xml:space="preserve">. [Shown at Games Developer Conference: </w:t>
      </w:r>
      <w:r w:rsidRPr="00771CA2">
        <w:t>San Francisco</w:t>
      </w:r>
      <w:r>
        <w:t>]</w:t>
      </w:r>
    </w:p>
    <w:p w:rsidR="000D1F83" w:rsidRDefault="000D1F83" w:rsidP="00D622E6">
      <w:pPr>
        <w:ind w:left="360"/>
      </w:pPr>
      <w:r w:rsidRPr="000D1F83">
        <w:t>Nicodemus</w:t>
      </w:r>
      <w:r>
        <w:t xml:space="preserve">, F. E. and Richmond, J. C. (1977) </w:t>
      </w:r>
      <w:r w:rsidRPr="0071501D">
        <w:t>'</w:t>
      </w:r>
      <w:r w:rsidRPr="000D1F83">
        <w:t>Geometric considerations and nomenclature for reflectance</w:t>
      </w:r>
      <w:r w:rsidRPr="0071501D">
        <w:t>'</w:t>
      </w:r>
      <w:r>
        <w:t xml:space="preserve">. </w:t>
      </w:r>
      <w:r w:rsidRPr="000D1F83">
        <w:t>National Bureau of Standards (US)</w:t>
      </w:r>
      <w:r>
        <w:t xml:space="preserve">, </w:t>
      </w:r>
      <w:r w:rsidRPr="000D1F83">
        <w:t>Monograph 161</w:t>
      </w:r>
      <w:r>
        <w:t>.</w:t>
      </w:r>
    </w:p>
    <w:p w:rsidR="00051528" w:rsidRPr="00684751" w:rsidRDefault="00051528" w:rsidP="0071501D">
      <w:pPr>
        <w:ind w:left="360"/>
      </w:pPr>
    </w:p>
    <w:sectPr w:rsidR="00051528" w:rsidRPr="00684751" w:rsidSect="000C45D4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B6" w:rsidRDefault="00D670B6" w:rsidP="000D72C0">
      <w:pPr>
        <w:spacing w:after="0" w:line="240" w:lineRule="auto"/>
      </w:pPr>
      <w:r>
        <w:separator/>
      </w:r>
    </w:p>
  </w:endnote>
  <w:endnote w:type="continuationSeparator" w:id="0">
    <w:p w:rsidR="00D670B6" w:rsidRDefault="00D670B6" w:rsidP="000D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2C0" w:rsidRDefault="000D72C0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C0" w:rsidRPr="000D72C0" w:rsidRDefault="00D670B6">
                            <w:pPr>
                              <w:pStyle w:val="Footer"/>
                              <w:rPr>
                                <w:caps/>
                                <w:color w:val="191919" w:themeColor="text1" w:themeTint="E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191919" w:themeColor="text1" w:themeTint="E6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72C0" w:rsidRPr="000D72C0">
                                  <w:rPr>
                                    <w:color w:val="191919" w:themeColor="text1" w:themeTint="E6"/>
                                    <w:sz w:val="20"/>
                                    <w:szCs w:val="20"/>
                                  </w:rPr>
                                  <w:t>Sam Oates (J9060283)</w:t>
                                </w:r>
                              </w:sdtContent>
                            </w:sdt>
                            <w:r w:rsidR="000D72C0" w:rsidRPr="000D72C0">
                              <w:rPr>
                                <w:caps/>
                                <w:color w:val="191919" w:themeColor="text1" w:themeTint="E6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191919" w:themeColor="text1" w:themeTint="E6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D72C0" w:rsidRPr="000D72C0">
                                  <w:rPr>
                                    <w:caps/>
                                    <w:color w:val="191919" w:themeColor="text1" w:themeTint="E6"/>
                                    <w:sz w:val="20"/>
                                    <w:szCs w:val="20"/>
                                  </w:rPr>
                                  <w:t>School of Computing, University of Teesside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55" o:spid="_x0000_s103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34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5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0D72C0" w:rsidRPr="000D72C0" w:rsidRDefault="003A7565">
                      <w:pPr>
                        <w:pStyle w:val="Footer"/>
                        <w:rPr>
                          <w:caps/>
                          <w:color w:val="343434" w:themeColor="text1" w:themeTint="E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343434" w:themeColor="text1" w:themeTint="E6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D72C0" w:rsidRPr="000D72C0">
                            <w:rPr>
                              <w:color w:val="343434" w:themeColor="text1" w:themeTint="E6"/>
                              <w:sz w:val="20"/>
                              <w:szCs w:val="20"/>
                            </w:rPr>
                            <w:t>Sam Oates (J9060283)</w:t>
                          </w:r>
                        </w:sdtContent>
                      </w:sdt>
                      <w:r w:rsidR="000D72C0" w:rsidRPr="000D72C0">
                        <w:rPr>
                          <w:caps/>
                          <w:color w:val="343434" w:themeColor="text1" w:themeTint="E6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343434" w:themeColor="text1" w:themeTint="E6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2C0" w:rsidRPr="000D72C0">
                            <w:rPr>
                              <w:caps/>
                              <w:color w:val="343434" w:themeColor="text1" w:themeTint="E6"/>
                              <w:sz w:val="20"/>
                              <w:szCs w:val="20"/>
                            </w:rPr>
                            <w:t>School of Computing, University of Teesside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B6" w:rsidRDefault="00D670B6" w:rsidP="000D72C0">
      <w:pPr>
        <w:spacing w:after="0" w:line="240" w:lineRule="auto"/>
      </w:pPr>
      <w:r>
        <w:separator/>
      </w:r>
    </w:p>
  </w:footnote>
  <w:footnote w:type="continuationSeparator" w:id="0">
    <w:p w:rsidR="00D670B6" w:rsidRDefault="00D670B6" w:rsidP="000D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293A"/>
    <w:multiLevelType w:val="hybridMultilevel"/>
    <w:tmpl w:val="BF8048D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AE13ED"/>
    <w:multiLevelType w:val="hybridMultilevel"/>
    <w:tmpl w:val="20F0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89"/>
    <w:rsid w:val="00003A10"/>
    <w:rsid w:val="000065CD"/>
    <w:rsid w:val="0001144B"/>
    <w:rsid w:val="00014CCC"/>
    <w:rsid w:val="00032ADE"/>
    <w:rsid w:val="00042C63"/>
    <w:rsid w:val="00043084"/>
    <w:rsid w:val="00050829"/>
    <w:rsid w:val="00051528"/>
    <w:rsid w:val="00055D5C"/>
    <w:rsid w:val="00062E99"/>
    <w:rsid w:val="00066755"/>
    <w:rsid w:val="00075139"/>
    <w:rsid w:val="000834C9"/>
    <w:rsid w:val="0009078D"/>
    <w:rsid w:val="00095696"/>
    <w:rsid w:val="00095A46"/>
    <w:rsid w:val="000A5529"/>
    <w:rsid w:val="000B0AEC"/>
    <w:rsid w:val="000B3935"/>
    <w:rsid w:val="000C45D4"/>
    <w:rsid w:val="000D1F83"/>
    <w:rsid w:val="000D5182"/>
    <w:rsid w:val="000D59BD"/>
    <w:rsid w:val="000D7048"/>
    <w:rsid w:val="000D72C0"/>
    <w:rsid w:val="00100265"/>
    <w:rsid w:val="001046E2"/>
    <w:rsid w:val="00115EFC"/>
    <w:rsid w:val="00117CED"/>
    <w:rsid w:val="001201B4"/>
    <w:rsid w:val="0012616E"/>
    <w:rsid w:val="00135E91"/>
    <w:rsid w:val="00137CE3"/>
    <w:rsid w:val="00137D75"/>
    <w:rsid w:val="001435BC"/>
    <w:rsid w:val="00146EC6"/>
    <w:rsid w:val="001547E7"/>
    <w:rsid w:val="001571D0"/>
    <w:rsid w:val="00165371"/>
    <w:rsid w:val="001715B3"/>
    <w:rsid w:val="001754FC"/>
    <w:rsid w:val="0018086D"/>
    <w:rsid w:val="0018450F"/>
    <w:rsid w:val="001919A9"/>
    <w:rsid w:val="00192D2E"/>
    <w:rsid w:val="0019426E"/>
    <w:rsid w:val="00196A72"/>
    <w:rsid w:val="001A5F2E"/>
    <w:rsid w:val="001A796A"/>
    <w:rsid w:val="001A7DEE"/>
    <w:rsid w:val="001B036A"/>
    <w:rsid w:val="001B3E93"/>
    <w:rsid w:val="001C4810"/>
    <w:rsid w:val="001C64D1"/>
    <w:rsid w:val="001E00E5"/>
    <w:rsid w:val="001E3B91"/>
    <w:rsid w:val="001E446A"/>
    <w:rsid w:val="001F2399"/>
    <w:rsid w:val="00200501"/>
    <w:rsid w:val="00225B72"/>
    <w:rsid w:val="0023228A"/>
    <w:rsid w:val="0023239F"/>
    <w:rsid w:val="0023247B"/>
    <w:rsid w:val="0023589D"/>
    <w:rsid w:val="00237BAA"/>
    <w:rsid w:val="00243D82"/>
    <w:rsid w:val="002448DA"/>
    <w:rsid w:val="002454BD"/>
    <w:rsid w:val="0024697D"/>
    <w:rsid w:val="00253498"/>
    <w:rsid w:val="00254D06"/>
    <w:rsid w:val="002600A5"/>
    <w:rsid w:val="0026090B"/>
    <w:rsid w:val="0026383E"/>
    <w:rsid w:val="00267114"/>
    <w:rsid w:val="0027615A"/>
    <w:rsid w:val="00277923"/>
    <w:rsid w:val="002927BB"/>
    <w:rsid w:val="002A2AAD"/>
    <w:rsid w:val="002C09E6"/>
    <w:rsid w:val="002D552E"/>
    <w:rsid w:val="002F1448"/>
    <w:rsid w:val="002F1C8F"/>
    <w:rsid w:val="002F27F7"/>
    <w:rsid w:val="00301DCC"/>
    <w:rsid w:val="0030254B"/>
    <w:rsid w:val="00313532"/>
    <w:rsid w:val="00321020"/>
    <w:rsid w:val="00336E92"/>
    <w:rsid w:val="00353D2C"/>
    <w:rsid w:val="00381792"/>
    <w:rsid w:val="003823E0"/>
    <w:rsid w:val="00382C8B"/>
    <w:rsid w:val="003860F2"/>
    <w:rsid w:val="003925E8"/>
    <w:rsid w:val="0039436B"/>
    <w:rsid w:val="003A350E"/>
    <w:rsid w:val="003A7563"/>
    <w:rsid w:val="003A7565"/>
    <w:rsid w:val="003C1754"/>
    <w:rsid w:val="003C2CE1"/>
    <w:rsid w:val="003D3F42"/>
    <w:rsid w:val="003D4C2F"/>
    <w:rsid w:val="003D5B39"/>
    <w:rsid w:val="003D647B"/>
    <w:rsid w:val="003E70F5"/>
    <w:rsid w:val="00405709"/>
    <w:rsid w:val="0040777F"/>
    <w:rsid w:val="00411AF4"/>
    <w:rsid w:val="00412B1A"/>
    <w:rsid w:val="004150EC"/>
    <w:rsid w:val="00422CE5"/>
    <w:rsid w:val="00423FCD"/>
    <w:rsid w:val="0043114D"/>
    <w:rsid w:val="00435130"/>
    <w:rsid w:val="00443D24"/>
    <w:rsid w:val="004505FA"/>
    <w:rsid w:val="00456128"/>
    <w:rsid w:val="00456CB1"/>
    <w:rsid w:val="00473920"/>
    <w:rsid w:val="004832CB"/>
    <w:rsid w:val="00485388"/>
    <w:rsid w:val="00486653"/>
    <w:rsid w:val="00486942"/>
    <w:rsid w:val="00490C8B"/>
    <w:rsid w:val="004A0388"/>
    <w:rsid w:val="004A1D19"/>
    <w:rsid w:val="004A34FE"/>
    <w:rsid w:val="004A5D3E"/>
    <w:rsid w:val="004A7A44"/>
    <w:rsid w:val="004B2815"/>
    <w:rsid w:val="004B29C0"/>
    <w:rsid w:val="004B53EC"/>
    <w:rsid w:val="004B5C41"/>
    <w:rsid w:val="004F1C4D"/>
    <w:rsid w:val="004F2181"/>
    <w:rsid w:val="004F327A"/>
    <w:rsid w:val="005004AF"/>
    <w:rsid w:val="00501329"/>
    <w:rsid w:val="00513BBF"/>
    <w:rsid w:val="005178DB"/>
    <w:rsid w:val="00517DB7"/>
    <w:rsid w:val="0052451A"/>
    <w:rsid w:val="00526C52"/>
    <w:rsid w:val="00527BAC"/>
    <w:rsid w:val="00531514"/>
    <w:rsid w:val="0053724F"/>
    <w:rsid w:val="0054158B"/>
    <w:rsid w:val="00543F3C"/>
    <w:rsid w:val="005468B1"/>
    <w:rsid w:val="00550542"/>
    <w:rsid w:val="00554EC1"/>
    <w:rsid w:val="005601B0"/>
    <w:rsid w:val="00563325"/>
    <w:rsid w:val="005701D0"/>
    <w:rsid w:val="00577390"/>
    <w:rsid w:val="00585ACA"/>
    <w:rsid w:val="00597F70"/>
    <w:rsid w:val="005A0725"/>
    <w:rsid w:val="005A1984"/>
    <w:rsid w:val="005A3335"/>
    <w:rsid w:val="005C0EC1"/>
    <w:rsid w:val="005C424E"/>
    <w:rsid w:val="005C6F83"/>
    <w:rsid w:val="005E0901"/>
    <w:rsid w:val="005E282F"/>
    <w:rsid w:val="005E3CE5"/>
    <w:rsid w:val="005E3E31"/>
    <w:rsid w:val="005E4354"/>
    <w:rsid w:val="005E682B"/>
    <w:rsid w:val="005E683C"/>
    <w:rsid w:val="005F1EF9"/>
    <w:rsid w:val="005F7A47"/>
    <w:rsid w:val="00603029"/>
    <w:rsid w:val="00624866"/>
    <w:rsid w:val="0063582C"/>
    <w:rsid w:val="00635E18"/>
    <w:rsid w:val="00640E60"/>
    <w:rsid w:val="0064640B"/>
    <w:rsid w:val="0065777F"/>
    <w:rsid w:val="00657F98"/>
    <w:rsid w:val="00675C6E"/>
    <w:rsid w:val="0068188C"/>
    <w:rsid w:val="00684751"/>
    <w:rsid w:val="006A27C6"/>
    <w:rsid w:val="006A7A47"/>
    <w:rsid w:val="006B0045"/>
    <w:rsid w:val="006B0800"/>
    <w:rsid w:val="006B44EB"/>
    <w:rsid w:val="006B472F"/>
    <w:rsid w:val="006B5AE4"/>
    <w:rsid w:val="006C436D"/>
    <w:rsid w:val="006C4D40"/>
    <w:rsid w:val="006D0976"/>
    <w:rsid w:val="006E1CCD"/>
    <w:rsid w:val="006E3066"/>
    <w:rsid w:val="006E3179"/>
    <w:rsid w:val="006E41C7"/>
    <w:rsid w:val="006E4E0D"/>
    <w:rsid w:val="006F5D1B"/>
    <w:rsid w:val="0071501D"/>
    <w:rsid w:val="00733BC8"/>
    <w:rsid w:val="007340E3"/>
    <w:rsid w:val="00734F6E"/>
    <w:rsid w:val="00741EDC"/>
    <w:rsid w:val="00742028"/>
    <w:rsid w:val="00745419"/>
    <w:rsid w:val="00753A13"/>
    <w:rsid w:val="00753CEF"/>
    <w:rsid w:val="0075417B"/>
    <w:rsid w:val="00756ADE"/>
    <w:rsid w:val="00771CA2"/>
    <w:rsid w:val="0077570E"/>
    <w:rsid w:val="007767E2"/>
    <w:rsid w:val="00780974"/>
    <w:rsid w:val="0078147F"/>
    <w:rsid w:val="0078522E"/>
    <w:rsid w:val="00787577"/>
    <w:rsid w:val="00792450"/>
    <w:rsid w:val="00795247"/>
    <w:rsid w:val="007A1EAF"/>
    <w:rsid w:val="007A2633"/>
    <w:rsid w:val="007A354C"/>
    <w:rsid w:val="007A677F"/>
    <w:rsid w:val="007D0E39"/>
    <w:rsid w:val="007E2D3B"/>
    <w:rsid w:val="007E49B6"/>
    <w:rsid w:val="0082533A"/>
    <w:rsid w:val="00831448"/>
    <w:rsid w:val="00833953"/>
    <w:rsid w:val="0084243F"/>
    <w:rsid w:val="0084658C"/>
    <w:rsid w:val="00854F89"/>
    <w:rsid w:val="00863F55"/>
    <w:rsid w:val="00867997"/>
    <w:rsid w:val="00875D07"/>
    <w:rsid w:val="00891707"/>
    <w:rsid w:val="008973D8"/>
    <w:rsid w:val="008A340D"/>
    <w:rsid w:val="008A3E50"/>
    <w:rsid w:val="008A676F"/>
    <w:rsid w:val="008B6105"/>
    <w:rsid w:val="008B7490"/>
    <w:rsid w:val="008E6517"/>
    <w:rsid w:val="008F0DC6"/>
    <w:rsid w:val="008F454F"/>
    <w:rsid w:val="008F64D6"/>
    <w:rsid w:val="0090529F"/>
    <w:rsid w:val="00935982"/>
    <w:rsid w:val="00943475"/>
    <w:rsid w:val="00944545"/>
    <w:rsid w:val="009702F0"/>
    <w:rsid w:val="00971035"/>
    <w:rsid w:val="009874A8"/>
    <w:rsid w:val="0099109E"/>
    <w:rsid w:val="009942D7"/>
    <w:rsid w:val="0099486A"/>
    <w:rsid w:val="009A30B0"/>
    <w:rsid w:val="009C03F6"/>
    <w:rsid w:val="009D42FA"/>
    <w:rsid w:val="009D494A"/>
    <w:rsid w:val="009E7F2A"/>
    <w:rsid w:val="009F03E0"/>
    <w:rsid w:val="009F661E"/>
    <w:rsid w:val="00A03E15"/>
    <w:rsid w:val="00A07A45"/>
    <w:rsid w:val="00A30A7F"/>
    <w:rsid w:val="00A41B35"/>
    <w:rsid w:val="00A42CD4"/>
    <w:rsid w:val="00A4464F"/>
    <w:rsid w:val="00A4594B"/>
    <w:rsid w:val="00A567F3"/>
    <w:rsid w:val="00A5752A"/>
    <w:rsid w:val="00A646F2"/>
    <w:rsid w:val="00A70673"/>
    <w:rsid w:val="00A75C8D"/>
    <w:rsid w:val="00A77A04"/>
    <w:rsid w:val="00A928B0"/>
    <w:rsid w:val="00A93FE9"/>
    <w:rsid w:val="00A95670"/>
    <w:rsid w:val="00A97C6D"/>
    <w:rsid w:val="00AA2AEA"/>
    <w:rsid w:val="00AB0762"/>
    <w:rsid w:val="00AC6597"/>
    <w:rsid w:val="00AD3719"/>
    <w:rsid w:val="00AD54EC"/>
    <w:rsid w:val="00AE24F4"/>
    <w:rsid w:val="00AE3E31"/>
    <w:rsid w:val="00AF1FBA"/>
    <w:rsid w:val="00AF4934"/>
    <w:rsid w:val="00AF7EEE"/>
    <w:rsid w:val="00B03712"/>
    <w:rsid w:val="00B0400A"/>
    <w:rsid w:val="00B04719"/>
    <w:rsid w:val="00B056F2"/>
    <w:rsid w:val="00B17D8E"/>
    <w:rsid w:val="00B2386E"/>
    <w:rsid w:val="00B3434D"/>
    <w:rsid w:val="00B427AD"/>
    <w:rsid w:val="00B44CE1"/>
    <w:rsid w:val="00B45811"/>
    <w:rsid w:val="00B7660D"/>
    <w:rsid w:val="00B82650"/>
    <w:rsid w:val="00B85CAE"/>
    <w:rsid w:val="00B85D4E"/>
    <w:rsid w:val="00B923D8"/>
    <w:rsid w:val="00B92661"/>
    <w:rsid w:val="00B94231"/>
    <w:rsid w:val="00BA2F8F"/>
    <w:rsid w:val="00BA7ADD"/>
    <w:rsid w:val="00BC1FF5"/>
    <w:rsid w:val="00BC30C9"/>
    <w:rsid w:val="00BD2981"/>
    <w:rsid w:val="00BD517A"/>
    <w:rsid w:val="00BE0D96"/>
    <w:rsid w:val="00BE3F58"/>
    <w:rsid w:val="00BE4A2F"/>
    <w:rsid w:val="00BE5B58"/>
    <w:rsid w:val="00BE5BB2"/>
    <w:rsid w:val="00BF38A2"/>
    <w:rsid w:val="00BF7032"/>
    <w:rsid w:val="00C00733"/>
    <w:rsid w:val="00C1590D"/>
    <w:rsid w:val="00C172A1"/>
    <w:rsid w:val="00C20DB2"/>
    <w:rsid w:val="00C24904"/>
    <w:rsid w:val="00C30665"/>
    <w:rsid w:val="00C36016"/>
    <w:rsid w:val="00C4172D"/>
    <w:rsid w:val="00C505C9"/>
    <w:rsid w:val="00C5285C"/>
    <w:rsid w:val="00C6065E"/>
    <w:rsid w:val="00C671D7"/>
    <w:rsid w:val="00C80425"/>
    <w:rsid w:val="00C80623"/>
    <w:rsid w:val="00C80ACA"/>
    <w:rsid w:val="00C845AB"/>
    <w:rsid w:val="00C866E8"/>
    <w:rsid w:val="00C91F67"/>
    <w:rsid w:val="00C932D5"/>
    <w:rsid w:val="00CA503D"/>
    <w:rsid w:val="00CB68EB"/>
    <w:rsid w:val="00CC0240"/>
    <w:rsid w:val="00CC40E0"/>
    <w:rsid w:val="00CD02B0"/>
    <w:rsid w:val="00CD0E84"/>
    <w:rsid w:val="00CE7703"/>
    <w:rsid w:val="00CF00CB"/>
    <w:rsid w:val="00D16684"/>
    <w:rsid w:val="00D308C3"/>
    <w:rsid w:val="00D36893"/>
    <w:rsid w:val="00D45366"/>
    <w:rsid w:val="00D47443"/>
    <w:rsid w:val="00D60B53"/>
    <w:rsid w:val="00D622E6"/>
    <w:rsid w:val="00D670B6"/>
    <w:rsid w:val="00D72FE6"/>
    <w:rsid w:val="00D77800"/>
    <w:rsid w:val="00D878E3"/>
    <w:rsid w:val="00D946FE"/>
    <w:rsid w:val="00D960F6"/>
    <w:rsid w:val="00D96351"/>
    <w:rsid w:val="00D974FD"/>
    <w:rsid w:val="00DA5997"/>
    <w:rsid w:val="00DA5B27"/>
    <w:rsid w:val="00DA701E"/>
    <w:rsid w:val="00DC5D1A"/>
    <w:rsid w:val="00DD0B7F"/>
    <w:rsid w:val="00DD102A"/>
    <w:rsid w:val="00DD1803"/>
    <w:rsid w:val="00DD4264"/>
    <w:rsid w:val="00DE0E06"/>
    <w:rsid w:val="00DE74FE"/>
    <w:rsid w:val="00DF2D1A"/>
    <w:rsid w:val="00E01A1B"/>
    <w:rsid w:val="00E11257"/>
    <w:rsid w:val="00E206F5"/>
    <w:rsid w:val="00E24805"/>
    <w:rsid w:val="00E465E4"/>
    <w:rsid w:val="00E50D0B"/>
    <w:rsid w:val="00E548D9"/>
    <w:rsid w:val="00E61D7E"/>
    <w:rsid w:val="00E774F4"/>
    <w:rsid w:val="00E8402A"/>
    <w:rsid w:val="00EA4493"/>
    <w:rsid w:val="00EB12CA"/>
    <w:rsid w:val="00ED12AC"/>
    <w:rsid w:val="00ED25A4"/>
    <w:rsid w:val="00EE0967"/>
    <w:rsid w:val="00EE2488"/>
    <w:rsid w:val="00EE76F5"/>
    <w:rsid w:val="00EE7AF0"/>
    <w:rsid w:val="00EF2FAF"/>
    <w:rsid w:val="00EF628F"/>
    <w:rsid w:val="00EF66B4"/>
    <w:rsid w:val="00F00728"/>
    <w:rsid w:val="00F00EFA"/>
    <w:rsid w:val="00F013C5"/>
    <w:rsid w:val="00F043AE"/>
    <w:rsid w:val="00F05363"/>
    <w:rsid w:val="00F112C5"/>
    <w:rsid w:val="00F148B4"/>
    <w:rsid w:val="00F160D1"/>
    <w:rsid w:val="00F23D76"/>
    <w:rsid w:val="00F27E98"/>
    <w:rsid w:val="00F32897"/>
    <w:rsid w:val="00F340A9"/>
    <w:rsid w:val="00F353F7"/>
    <w:rsid w:val="00F42D95"/>
    <w:rsid w:val="00F43F10"/>
    <w:rsid w:val="00F53CA3"/>
    <w:rsid w:val="00F548B3"/>
    <w:rsid w:val="00F6012D"/>
    <w:rsid w:val="00F62FD5"/>
    <w:rsid w:val="00F71B69"/>
    <w:rsid w:val="00F81121"/>
    <w:rsid w:val="00F81458"/>
    <w:rsid w:val="00F830BF"/>
    <w:rsid w:val="00F90255"/>
    <w:rsid w:val="00F96692"/>
    <w:rsid w:val="00FA4A36"/>
    <w:rsid w:val="00FA61C2"/>
    <w:rsid w:val="00FA6AD4"/>
    <w:rsid w:val="00FB4F30"/>
    <w:rsid w:val="00FC283B"/>
    <w:rsid w:val="00FC610C"/>
    <w:rsid w:val="00FD0AD2"/>
    <w:rsid w:val="00FD69AB"/>
    <w:rsid w:val="00FE3D24"/>
    <w:rsid w:val="00FE4E81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96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C0"/>
  </w:style>
  <w:style w:type="paragraph" w:styleId="Footer">
    <w:name w:val="footer"/>
    <w:basedOn w:val="Normal"/>
    <w:link w:val="Foot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C0"/>
  </w:style>
  <w:style w:type="character" w:styleId="PlaceholderText">
    <w:name w:val="Placeholder Text"/>
    <w:basedOn w:val="DefaultParagraphFont"/>
    <w:uiPriority w:val="99"/>
    <w:semiHidden/>
    <w:rsid w:val="00554E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1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96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C0"/>
  </w:style>
  <w:style w:type="paragraph" w:styleId="Footer">
    <w:name w:val="footer"/>
    <w:basedOn w:val="Normal"/>
    <w:link w:val="Foot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C0"/>
  </w:style>
  <w:style w:type="character" w:styleId="PlaceholderText">
    <w:name w:val="Placeholder Text"/>
    <w:basedOn w:val="DefaultParagraphFont"/>
    <w:uiPriority w:val="99"/>
    <w:semiHidden/>
    <w:rsid w:val="00554E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1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1517-2542-4250-BD70-664E5912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6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Teesside</Company>
  <LinksUpToDate>false</LinksUpToDate>
  <CharactersWithSpaces>12984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Rendering of Translucent Materials in a Deferred Rende</dc:title>
  <dc:subject/>
  <dc:creator>Sam Oates (J9060283)</dc:creator>
  <cp:keywords/>
  <dc:description/>
  <cp:lastModifiedBy>SCM</cp:lastModifiedBy>
  <cp:revision>550</cp:revision>
  <cp:lastPrinted>2013-01-10T00:20:00Z</cp:lastPrinted>
  <dcterms:created xsi:type="dcterms:W3CDTF">2012-12-29T15:09:00Z</dcterms:created>
  <dcterms:modified xsi:type="dcterms:W3CDTF">2013-01-14T14:35:00Z</dcterms:modified>
</cp:coreProperties>
</file>