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5627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5B383FE" w14:textId="66536D86" w:rsidR="00E97402" w:rsidRPr="00FF5579" w:rsidRDefault="004500A7" w:rsidP="00040394">
      <w:pPr>
        <w:pStyle w:val="Title"/>
        <w:framePr w:wrap="notBeside"/>
      </w:pPr>
      <w:r w:rsidRPr="00FF5579">
        <w:t>Applying</w:t>
      </w:r>
      <w:r w:rsidR="00FF5579" w:rsidRPr="00FF5579">
        <w:t xml:space="preserve"> Mul</w:t>
      </w:r>
      <w:r w:rsidR="00FF5579">
        <w:t>tivariate Linear Regression to Major Financial Institutions Leading to the Financial Crisis of 2008</w:t>
      </w:r>
    </w:p>
    <w:p w14:paraId="22DB66BD" w14:textId="001D139E" w:rsidR="00E97402" w:rsidRPr="00FF5579" w:rsidRDefault="00991215">
      <w:pPr>
        <w:pStyle w:val="Authors"/>
        <w:framePr w:wrap="notBeside"/>
        <w:rPr>
          <w:lang w:val="es-MX"/>
        </w:rPr>
      </w:pPr>
      <w:r w:rsidRPr="00FF5579">
        <w:rPr>
          <w:lang w:val="es-MX"/>
        </w:rPr>
        <w:t>Javier Salda</w:t>
      </w:r>
      <w:r w:rsidR="00877BFE" w:rsidRPr="00FF5579">
        <w:rPr>
          <w:lang w:val="es-MX"/>
        </w:rPr>
        <w:t>ñ</w:t>
      </w:r>
      <w:r w:rsidRPr="00FF5579">
        <w:rPr>
          <w:lang w:val="es-MX"/>
        </w:rPr>
        <w:t>a</w:t>
      </w:r>
      <w:r w:rsidR="004C692B" w:rsidRPr="00FF5579">
        <w:rPr>
          <w:lang w:val="es-MX"/>
        </w:rPr>
        <w:t xml:space="preserve"> Jr.</w:t>
      </w:r>
    </w:p>
    <w:p w14:paraId="7E7E02BB" w14:textId="77777777" w:rsidR="005C2334" w:rsidRPr="00B02665" w:rsidRDefault="005C2334">
      <w:pPr>
        <w:pStyle w:val="Abstract"/>
        <w:rPr>
          <w:i/>
          <w:iCs/>
        </w:rPr>
        <w:sectPr w:rsidR="005C2334" w:rsidRPr="00B02665">
          <w:headerReference w:type="default" r:id="rId8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677DC9C8" w14:textId="77777777" w:rsidR="00E97402" w:rsidRPr="000536FA" w:rsidRDefault="00E97402" w:rsidP="000536FA">
      <w:pPr>
        <w:pStyle w:val="Heading1"/>
        <w:numPr>
          <w:ilvl w:val="0"/>
          <w:numId w:val="0"/>
        </w:numPr>
        <w:jc w:val="left"/>
        <w:rPr>
          <w:b/>
          <w:sz w:val="22"/>
          <w:szCs w:val="22"/>
        </w:rPr>
      </w:pPr>
      <w:r w:rsidRPr="000536FA">
        <w:rPr>
          <w:b/>
          <w:sz w:val="22"/>
          <w:szCs w:val="22"/>
        </w:rPr>
        <w:lastRenderedPageBreak/>
        <w:t>INTRODUCTION</w:t>
      </w:r>
    </w:p>
    <w:p w14:paraId="6255337B" w14:textId="0A6E5A2D" w:rsidR="000E0CD3" w:rsidRPr="005C2334" w:rsidRDefault="00D1676B">
      <w:pPr>
        <w:pStyle w:val="Text"/>
        <w:ind w:firstLine="0"/>
        <w:rPr>
          <w:sz w:val="22"/>
          <w:szCs w:val="22"/>
        </w:rPr>
      </w:pPr>
      <w:r>
        <w:rPr>
          <w:smallCaps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 w:rsidR="00112F02" w:rsidRPr="005C2334">
        <w:rPr>
          <w:sz w:val="22"/>
          <w:szCs w:val="22"/>
        </w:rPr>
        <w:t xml:space="preserve">year 2008 will forever </w:t>
      </w:r>
      <w:r w:rsidR="003D7D94" w:rsidRPr="005C2334">
        <w:rPr>
          <w:sz w:val="22"/>
          <w:szCs w:val="22"/>
        </w:rPr>
        <w:t>be remembered as the year of the most devastating financial crisis since the Great Depression</w:t>
      </w:r>
      <w:r w:rsidR="00246E92" w:rsidRPr="005C2334">
        <w:rPr>
          <w:sz w:val="22"/>
          <w:szCs w:val="22"/>
        </w:rPr>
        <w:t xml:space="preserve"> </w:t>
      </w:r>
      <w:r w:rsidR="00417AE8" w:rsidRPr="005C2334">
        <w:rPr>
          <w:sz w:val="22"/>
          <w:szCs w:val="22"/>
        </w:rPr>
        <w:t>of the 20</w:t>
      </w:r>
      <w:r w:rsidR="00417AE8" w:rsidRPr="005C2334">
        <w:rPr>
          <w:sz w:val="22"/>
          <w:szCs w:val="22"/>
          <w:vertAlign w:val="superscript"/>
        </w:rPr>
        <w:t>th</w:t>
      </w:r>
      <w:r w:rsidR="00417AE8" w:rsidRPr="005C2334">
        <w:rPr>
          <w:sz w:val="22"/>
          <w:szCs w:val="22"/>
        </w:rPr>
        <w:t xml:space="preserve"> century</w:t>
      </w:r>
      <w:r w:rsidR="003D7D94" w:rsidRPr="005C2334">
        <w:rPr>
          <w:sz w:val="22"/>
          <w:szCs w:val="22"/>
        </w:rPr>
        <w:t>.</w:t>
      </w:r>
      <w:r w:rsidR="00F728DA" w:rsidRPr="005C2334">
        <w:rPr>
          <w:sz w:val="22"/>
          <w:szCs w:val="22"/>
        </w:rPr>
        <w:t xml:space="preserve"> </w:t>
      </w:r>
      <w:r w:rsidR="00701A35" w:rsidRPr="005C2334">
        <w:rPr>
          <w:sz w:val="22"/>
          <w:szCs w:val="22"/>
        </w:rPr>
        <w:t>The United States’ Government Account</w:t>
      </w:r>
      <w:r w:rsidR="000C2D25" w:rsidRPr="005C2334">
        <w:rPr>
          <w:sz w:val="22"/>
          <w:szCs w:val="22"/>
        </w:rPr>
        <w:t>ability</w:t>
      </w:r>
      <w:r w:rsidR="00701A35" w:rsidRPr="005C2334">
        <w:rPr>
          <w:sz w:val="22"/>
          <w:szCs w:val="22"/>
        </w:rPr>
        <w:t xml:space="preserve"> Office</w:t>
      </w:r>
      <w:r w:rsidR="000B0AE4" w:rsidRPr="005C2334">
        <w:rPr>
          <w:sz w:val="22"/>
          <w:szCs w:val="22"/>
        </w:rPr>
        <w:t xml:space="preserve"> </w:t>
      </w:r>
      <w:r w:rsidR="000C2D25" w:rsidRPr="005C2334">
        <w:rPr>
          <w:sz w:val="22"/>
          <w:szCs w:val="22"/>
        </w:rPr>
        <w:t xml:space="preserve">(GOA) </w:t>
      </w:r>
      <w:r w:rsidR="00F471AC" w:rsidRPr="005C2334">
        <w:rPr>
          <w:sz w:val="22"/>
          <w:szCs w:val="22"/>
        </w:rPr>
        <w:t xml:space="preserve">reports </w:t>
      </w:r>
      <w:r w:rsidR="000C2D25" w:rsidRPr="005C2334">
        <w:rPr>
          <w:sz w:val="22"/>
          <w:szCs w:val="22"/>
        </w:rPr>
        <w:t xml:space="preserve">the </w:t>
      </w:r>
      <w:r w:rsidR="00F471AC" w:rsidRPr="005C2334">
        <w:rPr>
          <w:sz w:val="22"/>
          <w:szCs w:val="22"/>
        </w:rPr>
        <w:t xml:space="preserve">US economy </w:t>
      </w:r>
      <w:r w:rsidR="00D83BA9" w:rsidRPr="005C2334">
        <w:rPr>
          <w:sz w:val="22"/>
          <w:szCs w:val="22"/>
        </w:rPr>
        <w:t xml:space="preserve">suffered </w:t>
      </w:r>
      <w:r w:rsidR="00F471AC" w:rsidRPr="005C2334">
        <w:rPr>
          <w:sz w:val="22"/>
          <w:szCs w:val="22"/>
        </w:rPr>
        <w:t>an estimated $22 trillion</w:t>
      </w:r>
      <w:r w:rsidR="00A603D7" w:rsidRPr="005C2334">
        <w:rPr>
          <w:sz w:val="22"/>
          <w:szCs w:val="22"/>
        </w:rPr>
        <w:t xml:space="preserve"> in losses</w:t>
      </w:r>
      <w:r w:rsidR="00F471AC" w:rsidRPr="005C2334">
        <w:rPr>
          <w:sz w:val="22"/>
          <w:szCs w:val="22"/>
        </w:rPr>
        <w:t xml:space="preserve"> [1].</w:t>
      </w:r>
      <w:r w:rsidR="00D83BA9" w:rsidRPr="005C2334">
        <w:rPr>
          <w:sz w:val="22"/>
          <w:szCs w:val="22"/>
        </w:rPr>
        <w:t xml:space="preserve"> </w:t>
      </w:r>
      <w:r w:rsidR="000B795C" w:rsidRPr="005C2334">
        <w:rPr>
          <w:sz w:val="22"/>
          <w:szCs w:val="22"/>
        </w:rPr>
        <w:t xml:space="preserve">Major financial </w:t>
      </w:r>
      <w:r w:rsidR="000A3EEA" w:rsidRPr="005C2334">
        <w:rPr>
          <w:sz w:val="22"/>
          <w:szCs w:val="22"/>
        </w:rPr>
        <w:t xml:space="preserve">corporations were liquidated while others were forced to sale or merge in order to stay afloat. </w:t>
      </w:r>
      <w:r w:rsidR="005764C7" w:rsidRPr="005C2334">
        <w:rPr>
          <w:sz w:val="22"/>
          <w:szCs w:val="22"/>
        </w:rPr>
        <w:t xml:space="preserve">While Wall Street was suffering </w:t>
      </w:r>
      <w:r w:rsidR="00267536" w:rsidRPr="005C2334">
        <w:rPr>
          <w:sz w:val="22"/>
          <w:szCs w:val="22"/>
        </w:rPr>
        <w:t xml:space="preserve">from the market panics, millions of Americans saw their sub-prime loans maturing and not being able to </w:t>
      </w:r>
      <w:r w:rsidR="002E762A" w:rsidRPr="005C2334">
        <w:rPr>
          <w:sz w:val="22"/>
          <w:szCs w:val="22"/>
        </w:rPr>
        <w:t>refinance a home that had lost a substantial amount of its value thanks to a slowing housing market. Although it didn’t take long for the economy to collapse,</w:t>
      </w:r>
      <w:r w:rsidR="00276145" w:rsidRPr="005C2334">
        <w:rPr>
          <w:sz w:val="22"/>
          <w:szCs w:val="22"/>
        </w:rPr>
        <w:t xml:space="preserve"> the crisis is the result of years </w:t>
      </w:r>
      <w:r w:rsidR="00626C5C" w:rsidRPr="005C2334">
        <w:rPr>
          <w:sz w:val="22"/>
          <w:szCs w:val="22"/>
        </w:rPr>
        <w:t>of dangerous trade</w:t>
      </w:r>
      <w:r w:rsidR="000E0CD3" w:rsidRPr="005C2334">
        <w:rPr>
          <w:sz w:val="22"/>
          <w:szCs w:val="22"/>
        </w:rPr>
        <w:t xml:space="preserve"> practices and poor oversight.</w:t>
      </w:r>
    </w:p>
    <w:p w14:paraId="449A23C1" w14:textId="77777777" w:rsidR="000E0CD3" w:rsidRPr="005C2334" w:rsidRDefault="000E0CD3">
      <w:pPr>
        <w:pStyle w:val="Text"/>
        <w:ind w:firstLine="0"/>
        <w:rPr>
          <w:sz w:val="22"/>
          <w:szCs w:val="22"/>
        </w:rPr>
      </w:pPr>
    </w:p>
    <w:p w14:paraId="69F167BA" w14:textId="3980C8C7" w:rsidR="001C5006" w:rsidRPr="005C2334" w:rsidRDefault="00383FF0" w:rsidP="0039416C">
      <w:pPr>
        <w:pStyle w:val="Text"/>
        <w:rPr>
          <w:sz w:val="22"/>
          <w:szCs w:val="22"/>
        </w:rPr>
      </w:pPr>
      <w:r w:rsidRPr="005C2334">
        <w:rPr>
          <w:sz w:val="22"/>
          <w:szCs w:val="22"/>
        </w:rPr>
        <w:t xml:space="preserve">The US was rocked by the burst of the Dot Com bubble that burst </w:t>
      </w:r>
      <w:r w:rsidR="00193F68" w:rsidRPr="005C2334">
        <w:rPr>
          <w:sz w:val="22"/>
          <w:szCs w:val="22"/>
        </w:rPr>
        <w:t>in 200</w:t>
      </w:r>
      <w:r w:rsidR="008609DE" w:rsidRPr="005C2334">
        <w:rPr>
          <w:sz w:val="22"/>
          <w:szCs w:val="22"/>
        </w:rPr>
        <w:t>2</w:t>
      </w:r>
      <w:r w:rsidR="00193F68" w:rsidRPr="005C2334">
        <w:rPr>
          <w:sz w:val="22"/>
          <w:szCs w:val="22"/>
        </w:rPr>
        <w:t xml:space="preserve">, which saw the Dow Jones, NASDAQ, and S&amp;P 500 </w:t>
      </w:r>
      <w:r w:rsidR="00052BC3" w:rsidRPr="005C2334">
        <w:rPr>
          <w:sz w:val="22"/>
          <w:szCs w:val="22"/>
        </w:rPr>
        <w:t xml:space="preserve">wipe out 5 </w:t>
      </w:r>
      <w:r w:rsidR="008A5318" w:rsidRPr="005C2334">
        <w:rPr>
          <w:sz w:val="22"/>
          <w:szCs w:val="22"/>
        </w:rPr>
        <w:t>years’ worth</w:t>
      </w:r>
      <w:r w:rsidR="00052BC3" w:rsidRPr="005C2334">
        <w:rPr>
          <w:sz w:val="22"/>
          <w:szCs w:val="22"/>
        </w:rPr>
        <w:t xml:space="preserve"> of gains</w:t>
      </w:r>
      <w:r w:rsidR="00241FC2" w:rsidRPr="005C2334">
        <w:rPr>
          <w:sz w:val="22"/>
          <w:szCs w:val="22"/>
        </w:rPr>
        <w:t xml:space="preserve">. </w:t>
      </w:r>
      <w:r w:rsidR="00F72301" w:rsidRPr="005C2334">
        <w:rPr>
          <w:sz w:val="22"/>
          <w:szCs w:val="22"/>
        </w:rPr>
        <w:t xml:space="preserve">However, </w:t>
      </w:r>
      <w:r w:rsidR="009E7FB2" w:rsidRPr="005C2334">
        <w:rPr>
          <w:sz w:val="22"/>
          <w:szCs w:val="22"/>
        </w:rPr>
        <w:t xml:space="preserve">a </w:t>
      </w:r>
      <w:r w:rsidR="00CF1A0F" w:rsidRPr="005C2334">
        <w:rPr>
          <w:sz w:val="22"/>
          <w:szCs w:val="22"/>
        </w:rPr>
        <w:t>historically strong and reliable housing market</w:t>
      </w:r>
      <w:r w:rsidR="0061527A" w:rsidRPr="005C2334">
        <w:rPr>
          <w:sz w:val="22"/>
          <w:szCs w:val="22"/>
        </w:rPr>
        <w:t xml:space="preserve"> was able to bring the US economy roaring back.</w:t>
      </w:r>
      <w:r w:rsidR="008A5318" w:rsidRPr="005C2334">
        <w:rPr>
          <w:sz w:val="22"/>
          <w:szCs w:val="22"/>
        </w:rPr>
        <w:t xml:space="preserve"> Not only did the economy recover the </w:t>
      </w:r>
      <w:r w:rsidR="001940FE" w:rsidRPr="005C2334">
        <w:rPr>
          <w:sz w:val="22"/>
          <w:szCs w:val="22"/>
        </w:rPr>
        <w:t>value lost, but it was able to nearly double it within 5 years from the burst of the Dot Com bubble.</w:t>
      </w:r>
    </w:p>
    <w:p w14:paraId="1CA359FB" w14:textId="41BFA3F0" w:rsidR="00B23ACB" w:rsidRPr="005C2334" w:rsidRDefault="00B23ACB">
      <w:pPr>
        <w:pStyle w:val="Text"/>
        <w:ind w:firstLine="0"/>
        <w:rPr>
          <w:sz w:val="22"/>
          <w:szCs w:val="22"/>
        </w:rPr>
      </w:pPr>
    </w:p>
    <w:p w14:paraId="7000F90A" w14:textId="0689845F" w:rsidR="00B23ACB" w:rsidRPr="005C2334" w:rsidRDefault="003C4B91" w:rsidP="0039416C">
      <w:pPr>
        <w:pStyle w:val="Text"/>
        <w:rPr>
          <w:sz w:val="22"/>
          <w:szCs w:val="22"/>
        </w:rPr>
      </w:pPr>
      <w:r w:rsidRPr="005C2334">
        <w:rPr>
          <w:sz w:val="22"/>
          <w:szCs w:val="22"/>
        </w:rPr>
        <w:t xml:space="preserve">Liberal lending practices </w:t>
      </w:r>
      <w:r w:rsidR="004D46F3" w:rsidRPr="005C2334">
        <w:rPr>
          <w:sz w:val="22"/>
          <w:szCs w:val="22"/>
        </w:rPr>
        <w:t>led to the creation of sub-prime loans, which would begin at a small fixed rate</w:t>
      </w:r>
      <w:r w:rsidR="002102C6" w:rsidRPr="005C2334">
        <w:rPr>
          <w:sz w:val="22"/>
          <w:szCs w:val="22"/>
        </w:rPr>
        <w:t xml:space="preserve"> for a few years before their new rate would </w:t>
      </w:r>
      <w:r w:rsidR="00BF032A" w:rsidRPr="005C2334">
        <w:rPr>
          <w:sz w:val="22"/>
          <w:szCs w:val="22"/>
        </w:rPr>
        <w:t xml:space="preserve">be initiated. </w:t>
      </w:r>
      <w:r w:rsidR="00EA5F95" w:rsidRPr="005C2334">
        <w:rPr>
          <w:sz w:val="22"/>
          <w:szCs w:val="22"/>
        </w:rPr>
        <w:t xml:space="preserve">These loans were referred to as sub-prime because they were generally </w:t>
      </w:r>
      <w:r w:rsidR="000648F2" w:rsidRPr="005C2334">
        <w:rPr>
          <w:sz w:val="22"/>
          <w:szCs w:val="22"/>
        </w:rPr>
        <w:t xml:space="preserve">made available for individuals with lower than standard credit strength. </w:t>
      </w:r>
      <w:r w:rsidR="00FC1D0C" w:rsidRPr="005C2334">
        <w:rPr>
          <w:sz w:val="22"/>
          <w:szCs w:val="22"/>
        </w:rPr>
        <w:t>As a result, the financial institutions found themselves unable to get investors to take on this ne</w:t>
      </w:r>
      <w:r w:rsidR="00D53FE1" w:rsidRPr="005C2334">
        <w:rPr>
          <w:sz w:val="22"/>
          <w:szCs w:val="22"/>
        </w:rPr>
        <w:t xml:space="preserve">wly created investment opportunity for the risk of a default was too high. In order to hedge against the risk of </w:t>
      </w:r>
      <w:r w:rsidR="009C5374" w:rsidRPr="005C2334">
        <w:rPr>
          <w:sz w:val="22"/>
          <w:szCs w:val="22"/>
        </w:rPr>
        <w:t>default, financials institutions combined the toxic debt with superior debt</w:t>
      </w:r>
      <w:r w:rsidR="00550BC5" w:rsidRPr="005C2334">
        <w:rPr>
          <w:sz w:val="22"/>
          <w:szCs w:val="22"/>
        </w:rPr>
        <w:t xml:space="preserve">, which would then bring the credit strength of the debt </w:t>
      </w:r>
      <w:r w:rsidR="00AF4A66" w:rsidRPr="005C2334">
        <w:rPr>
          <w:sz w:val="22"/>
          <w:szCs w:val="22"/>
        </w:rPr>
        <w:t xml:space="preserve">to a more attractive level for potential investors. </w:t>
      </w:r>
      <w:r w:rsidR="00DF5898" w:rsidRPr="005C2334">
        <w:rPr>
          <w:sz w:val="22"/>
          <w:szCs w:val="22"/>
        </w:rPr>
        <w:t xml:space="preserve">The selling of this debt as collateral or investment opportunities is what began to set the stage for </w:t>
      </w:r>
      <w:r w:rsidR="00E03428" w:rsidRPr="005C2334">
        <w:rPr>
          <w:sz w:val="22"/>
          <w:szCs w:val="22"/>
        </w:rPr>
        <w:t xml:space="preserve">the 2008 financial crisis. </w:t>
      </w:r>
    </w:p>
    <w:p w14:paraId="64A7E556" w14:textId="77777777" w:rsidR="00E03428" w:rsidRPr="005C2334" w:rsidRDefault="00E03428">
      <w:pPr>
        <w:pStyle w:val="Text"/>
        <w:ind w:firstLine="0"/>
        <w:rPr>
          <w:sz w:val="22"/>
          <w:szCs w:val="22"/>
        </w:rPr>
      </w:pPr>
    </w:p>
    <w:p w14:paraId="4106766D" w14:textId="36A24EE5" w:rsidR="00A56399" w:rsidRPr="005C2334" w:rsidRDefault="00E03428" w:rsidP="0039416C">
      <w:pPr>
        <w:pStyle w:val="Text"/>
        <w:rPr>
          <w:sz w:val="22"/>
          <w:szCs w:val="22"/>
        </w:rPr>
      </w:pPr>
      <w:r w:rsidRPr="005C2334">
        <w:rPr>
          <w:sz w:val="22"/>
          <w:szCs w:val="22"/>
        </w:rPr>
        <w:t xml:space="preserve">The housing market began to </w:t>
      </w:r>
      <w:proofErr w:type="gramStart"/>
      <w:r w:rsidR="000536FA" w:rsidRPr="005C2334">
        <w:rPr>
          <w:sz w:val="22"/>
          <w:szCs w:val="22"/>
        </w:rPr>
        <w:t>slow</w:t>
      </w:r>
      <w:proofErr w:type="gramEnd"/>
      <w:r w:rsidR="006E2B85">
        <w:rPr>
          <w:sz w:val="22"/>
          <w:szCs w:val="22"/>
        </w:rPr>
        <w:t xml:space="preserve"> and </w:t>
      </w:r>
      <w:r w:rsidR="00E86290" w:rsidRPr="005C2334">
        <w:rPr>
          <w:sz w:val="22"/>
          <w:szCs w:val="22"/>
        </w:rPr>
        <w:t xml:space="preserve">housing prices were adjusted by the law of supply and demand in order to account for the </w:t>
      </w:r>
      <w:r w:rsidR="004077AD" w:rsidRPr="005C2334">
        <w:rPr>
          <w:sz w:val="22"/>
          <w:szCs w:val="22"/>
        </w:rPr>
        <w:t xml:space="preserve">flood of homes now available in the market. </w:t>
      </w:r>
      <w:r w:rsidR="00CC702F" w:rsidRPr="005C2334">
        <w:rPr>
          <w:sz w:val="22"/>
          <w:szCs w:val="22"/>
        </w:rPr>
        <w:t xml:space="preserve">The </w:t>
      </w:r>
      <w:r w:rsidR="009637DC" w:rsidRPr="005C2334">
        <w:rPr>
          <w:sz w:val="22"/>
          <w:szCs w:val="22"/>
        </w:rPr>
        <w:t xml:space="preserve">early warning signs were dismissed </w:t>
      </w:r>
      <w:r w:rsidR="00F751B1" w:rsidRPr="005C2334">
        <w:rPr>
          <w:sz w:val="22"/>
          <w:szCs w:val="22"/>
        </w:rPr>
        <w:t>by the US Federal Reserve and the International Monetary Fund</w:t>
      </w:r>
      <w:r w:rsidR="009D0379" w:rsidRPr="005C2334">
        <w:rPr>
          <w:sz w:val="22"/>
          <w:szCs w:val="22"/>
        </w:rPr>
        <w:t xml:space="preserve"> for nobody believed a historically stable </w:t>
      </w:r>
      <w:r w:rsidR="00B9169E" w:rsidRPr="005C2334">
        <w:rPr>
          <w:sz w:val="22"/>
          <w:szCs w:val="22"/>
        </w:rPr>
        <w:t xml:space="preserve">housing market would collapse. </w:t>
      </w:r>
      <w:r w:rsidR="00F0443D" w:rsidRPr="005C2334">
        <w:rPr>
          <w:sz w:val="22"/>
          <w:szCs w:val="22"/>
        </w:rPr>
        <w:t>As the sub-prime loans began to mature, millions of Americans found themselves unable to make their mortgage payment, refinance/sell their home in a flooded market.</w:t>
      </w:r>
      <w:r w:rsidR="001E2FC9" w:rsidRPr="005C2334">
        <w:rPr>
          <w:sz w:val="22"/>
          <w:szCs w:val="22"/>
        </w:rPr>
        <w:t xml:space="preserve"> Homes were foreclosed and any collateral made </w:t>
      </w:r>
      <w:r w:rsidR="00167261" w:rsidRPr="005C2334">
        <w:rPr>
          <w:sz w:val="22"/>
          <w:szCs w:val="22"/>
        </w:rPr>
        <w:t>from</w:t>
      </w:r>
      <w:r w:rsidR="001E2FC9" w:rsidRPr="005C2334">
        <w:rPr>
          <w:sz w:val="22"/>
          <w:szCs w:val="22"/>
        </w:rPr>
        <w:t xml:space="preserve"> the toxic debt was now worth pennies on the dollar </w:t>
      </w:r>
      <w:r w:rsidR="00FA3D7A">
        <w:rPr>
          <w:sz w:val="22"/>
          <w:szCs w:val="22"/>
        </w:rPr>
        <w:t>as</w:t>
      </w:r>
      <w:r w:rsidR="001E2FC9" w:rsidRPr="005C2334">
        <w:rPr>
          <w:sz w:val="22"/>
          <w:szCs w:val="22"/>
        </w:rPr>
        <w:t xml:space="preserve"> default</w:t>
      </w:r>
      <w:r w:rsidR="00FA3D7A">
        <w:rPr>
          <w:sz w:val="22"/>
          <w:szCs w:val="22"/>
        </w:rPr>
        <w:t>s rose</w:t>
      </w:r>
      <w:r w:rsidR="0003775D" w:rsidRPr="005C2334">
        <w:rPr>
          <w:sz w:val="22"/>
          <w:szCs w:val="22"/>
        </w:rPr>
        <w:t>.</w:t>
      </w:r>
      <w:r w:rsidR="003C1A1E" w:rsidRPr="005C2334">
        <w:rPr>
          <w:sz w:val="22"/>
          <w:szCs w:val="22"/>
        </w:rPr>
        <w:t xml:space="preserve"> Eventually, </w:t>
      </w:r>
      <w:r w:rsidR="00A055DA" w:rsidRPr="005C2334">
        <w:rPr>
          <w:sz w:val="22"/>
          <w:szCs w:val="22"/>
        </w:rPr>
        <w:t xml:space="preserve">the buyers of the sub-prime mortgage debt found their books filled with toxic debt they couldn’t get rid of on the secondary market. </w:t>
      </w:r>
    </w:p>
    <w:p w14:paraId="65D02D9E" w14:textId="7E72E7A7" w:rsidR="00FA77DB" w:rsidRPr="005C2334" w:rsidRDefault="00FA77DB">
      <w:pPr>
        <w:pStyle w:val="Text"/>
        <w:ind w:firstLine="0"/>
        <w:rPr>
          <w:sz w:val="22"/>
          <w:szCs w:val="22"/>
        </w:rPr>
      </w:pPr>
    </w:p>
    <w:p w14:paraId="192DE908" w14:textId="549A21D0" w:rsidR="00FA77DB" w:rsidRPr="005C2334" w:rsidRDefault="00FA77DB">
      <w:pPr>
        <w:pStyle w:val="Text"/>
        <w:ind w:firstLine="0"/>
        <w:rPr>
          <w:sz w:val="22"/>
          <w:szCs w:val="22"/>
        </w:rPr>
      </w:pPr>
      <w:r w:rsidRPr="005C2334">
        <w:rPr>
          <w:sz w:val="22"/>
          <w:szCs w:val="22"/>
        </w:rPr>
        <w:t xml:space="preserve">The US Government began to see the severity of the issue and attempted to </w:t>
      </w:r>
      <w:r w:rsidR="00303164" w:rsidRPr="005C2334">
        <w:rPr>
          <w:sz w:val="22"/>
          <w:szCs w:val="22"/>
        </w:rPr>
        <w:t xml:space="preserve">resurrect the housing market by </w:t>
      </w:r>
      <w:r w:rsidR="007C1E42" w:rsidRPr="005C2334">
        <w:rPr>
          <w:sz w:val="22"/>
          <w:szCs w:val="22"/>
        </w:rPr>
        <w:t>slashing borrow</w:t>
      </w:r>
      <w:r w:rsidR="00662541" w:rsidRPr="005C2334">
        <w:rPr>
          <w:sz w:val="22"/>
          <w:szCs w:val="22"/>
        </w:rPr>
        <w:t xml:space="preserve">ing interest rates and opening bail out programs for companies filled with toxic debt in their books. </w:t>
      </w:r>
      <w:r w:rsidR="00B22EA1" w:rsidRPr="005C2334">
        <w:rPr>
          <w:sz w:val="22"/>
          <w:szCs w:val="22"/>
        </w:rPr>
        <w:t xml:space="preserve">This strategy, however, would not be </w:t>
      </w:r>
      <w:r w:rsidR="006E2B85" w:rsidRPr="005C2334">
        <w:rPr>
          <w:sz w:val="22"/>
          <w:szCs w:val="22"/>
        </w:rPr>
        <w:t>enough</w:t>
      </w:r>
      <w:r w:rsidR="00B22EA1" w:rsidRPr="005C2334">
        <w:rPr>
          <w:sz w:val="22"/>
          <w:szCs w:val="22"/>
        </w:rPr>
        <w:t xml:space="preserve"> when</w:t>
      </w:r>
      <w:r w:rsidR="008435B3" w:rsidRPr="005C2334">
        <w:rPr>
          <w:sz w:val="22"/>
          <w:szCs w:val="22"/>
        </w:rPr>
        <w:t xml:space="preserve"> Fannie May and Freddie Mac </w:t>
      </w:r>
      <w:r w:rsidR="00405941" w:rsidRPr="005C2334">
        <w:rPr>
          <w:sz w:val="22"/>
          <w:szCs w:val="22"/>
        </w:rPr>
        <w:t xml:space="preserve">found itself unable to liquidate and the US Government became the major shareholder </w:t>
      </w:r>
      <w:r w:rsidR="00781158" w:rsidRPr="005C2334">
        <w:rPr>
          <w:sz w:val="22"/>
          <w:szCs w:val="22"/>
        </w:rPr>
        <w:t>in Fannie May and Freddie Mac.</w:t>
      </w:r>
      <w:r w:rsidR="00507C06" w:rsidRPr="005C2334">
        <w:rPr>
          <w:sz w:val="22"/>
          <w:szCs w:val="22"/>
        </w:rPr>
        <w:t xml:space="preserve"> Within weeks, other major institutions found themselves in similar circumstances</w:t>
      </w:r>
      <w:r w:rsidR="000B2BDB" w:rsidRPr="005C2334">
        <w:rPr>
          <w:sz w:val="22"/>
          <w:szCs w:val="22"/>
        </w:rPr>
        <w:t xml:space="preserve">. It was at this point that </w:t>
      </w:r>
      <w:r w:rsidR="00945B3F" w:rsidRPr="005C2334">
        <w:rPr>
          <w:sz w:val="22"/>
          <w:szCs w:val="22"/>
        </w:rPr>
        <w:t xml:space="preserve">the domino effect of the 2008 financial crisis </w:t>
      </w:r>
      <w:r w:rsidR="00F529B2" w:rsidRPr="005C2334">
        <w:rPr>
          <w:sz w:val="22"/>
          <w:szCs w:val="22"/>
        </w:rPr>
        <w:t xml:space="preserve">resulted in a global recession and a US economy </w:t>
      </w:r>
      <w:r w:rsidR="00BF17B6" w:rsidRPr="005C2334">
        <w:rPr>
          <w:sz w:val="22"/>
          <w:szCs w:val="22"/>
        </w:rPr>
        <w:t xml:space="preserve">losing </w:t>
      </w:r>
      <w:r w:rsidR="00ED110C" w:rsidRPr="005C2334">
        <w:rPr>
          <w:sz w:val="22"/>
          <w:szCs w:val="22"/>
        </w:rPr>
        <w:t>over 10 years’ worth of gains.</w:t>
      </w:r>
    </w:p>
    <w:p w14:paraId="265E194F" w14:textId="77777777" w:rsidR="00A56399" w:rsidRPr="005C2334" w:rsidRDefault="00A56399">
      <w:pPr>
        <w:pStyle w:val="Text"/>
        <w:ind w:firstLine="0"/>
        <w:rPr>
          <w:sz w:val="22"/>
          <w:szCs w:val="22"/>
        </w:rPr>
      </w:pPr>
    </w:p>
    <w:p w14:paraId="756076D3" w14:textId="046416EB" w:rsidR="00E97402" w:rsidRPr="005C2334" w:rsidRDefault="00B72427">
      <w:pPr>
        <w:pStyle w:val="Text"/>
        <w:rPr>
          <w:sz w:val="22"/>
          <w:szCs w:val="22"/>
        </w:rPr>
      </w:pPr>
      <w:r w:rsidRPr="005C2334">
        <w:rPr>
          <w:sz w:val="22"/>
          <w:szCs w:val="22"/>
        </w:rPr>
        <w:t xml:space="preserve">While </w:t>
      </w:r>
      <w:r w:rsidR="002728B6" w:rsidRPr="005C2334">
        <w:rPr>
          <w:sz w:val="22"/>
          <w:szCs w:val="22"/>
        </w:rPr>
        <w:t>the recession affected industries and countries all over the world, the</w:t>
      </w:r>
      <w:r w:rsidR="00BE582C" w:rsidRPr="005C2334">
        <w:rPr>
          <w:sz w:val="22"/>
          <w:szCs w:val="22"/>
        </w:rPr>
        <w:t xml:space="preserve"> greed of the</w:t>
      </w:r>
      <w:r w:rsidR="002728B6" w:rsidRPr="005C2334">
        <w:rPr>
          <w:sz w:val="22"/>
          <w:szCs w:val="22"/>
        </w:rPr>
        <w:t xml:space="preserve"> US financial sector </w:t>
      </w:r>
      <w:r w:rsidR="00BE582C" w:rsidRPr="005C2334">
        <w:rPr>
          <w:sz w:val="22"/>
          <w:szCs w:val="22"/>
        </w:rPr>
        <w:t xml:space="preserve">and lack of oversight </w:t>
      </w:r>
      <w:r w:rsidR="00AE318E" w:rsidRPr="005C2334">
        <w:rPr>
          <w:sz w:val="22"/>
          <w:szCs w:val="22"/>
        </w:rPr>
        <w:t>are frequently</w:t>
      </w:r>
      <w:r w:rsidR="002728B6" w:rsidRPr="005C2334">
        <w:rPr>
          <w:sz w:val="22"/>
          <w:szCs w:val="22"/>
        </w:rPr>
        <w:t xml:space="preserve"> </w:t>
      </w:r>
      <w:r w:rsidR="00BE582C" w:rsidRPr="005C2334">
        <w:rPr>
          <w:sz w:val="22"/>
          <w:szCs w:val="22"/>
        </w:rPr>
        <w:t>viewed as the culprit</w:t>
      </w:r>
      <w:r w:rsidR="00AE318E" w:rsidRPr="005C2334">
        <w:rPr>
          <w:sz w:val="22"/>
          <w:szCs w:val="22"/>
        </w:rPr>
        <w:t>s</w:t>
      </w:r>
      <w:r w:rsidR="00BE582C" w:rsidRPr="005C2334">
        <w:rPr>
          <w:sz w:val="22"/>
          <w:szCs w:val="22"/>
        </w:rPr>
        <w:t xml:space="preserve"> primarily responsible for this </w:t>
      </w:r>
      <w:r w:rsidR="00AE318E" w:rsidRPr="005C2334">
        <w:rPr>
          <w:sz w:val="22"/>
          <w:szCs w:val="22"/>
        </w:rPr>
        <w:t xml:space="preserve">crisis. </w:t>
      </w:r>
      <w:r w:rsidR="007A0DEB" w:rsidRPr="005C2334">
        <w:rPr>
          <w:sz w:val="22"/>
          <w:szCs w:val="22"/>
        </w:rPr>
        <w:t xml:space="preserve">We set out to study </w:t>
      </w:r>
      <w:r w:rsidR="00D91126" w:rsidRPr="005C2334">
        <w:rPr>
          <w:sz w:val="22"/>
          <w:szCs w:val="22"/>
        </w:rPr>
        <w:t xml:space="preserve">the strength of the correlation between the major financial institutions in the United States and </w:t>
      </w:r>
      <w:r w:rsidR="00BA2ACB" w:rsidRPr="005C2334">
        <w:rPr>
          <w:sz w:val="22"/>
          <w:szCs w:val="22"/>
        </w:rPr>
        <w:t>the market indices</w:t>
      </w:r>
      <w:r w:rsidR="00FF77A2" w:rsidRPr="005C2334">
        <w:rPr>
          <w:sz w:val="22"/>
          <w:szCs w:val="22"/>
        </w:rPr>
        <w:t xml:space="preserve"> (Dow Jones Industrial Avera</w:t>
      </w:r>
      <w:r w:rsidR="001114E8">
        <w:rPr>
          <w:sz w:val="22"/>
          <w:szCs w:val="22"/>
        </w:rPr>
        <w:t>ge</w:t>
      </w:r>
      <w:r w:rsidR="00FF77A2" w:rsidRPr="005C2334">
        <w:rPr>
          <w:sz w:val="22"/>
          <w:szCs w:val="22"/>
        </w:rPr>
        <w:t>, S&amp;P 500, and N</w:t>
      </w:r>
      <w:r w:rsidR="001114E8">
        <w:rPr>
          <w:sz w:val="22"/>
          <w:szCs w:val="22"/>
        </w:rPr>
        <w:t>asdaq Composite Index</w:t>
      </w:r>
      <w:r w:rsidR="00FF77A2" w:rsidRPr="005C2334">
        <w:rPr>
          <w:sz w:val="22"/>
          <w:szCs w:val="22"/>
        </w:rPr>
        <w:t>)</w:t>
      </w:r>
      <w:r w:rsidR="00143FC6" w:rsidRPr="005C2334">
        <w:rPr>
          <w:sz w:val="22"/>
          <w:szCs w:val="22"/>
        </w:rPr>
        <w:t xml:space="preserve">. In addition, are there specific financial institutions that hold a higher coefficient than others </w:t>
      </w:r>
      <w:r w:rsidR="00B35285" w:rsidRPr="005C2334">
        <w:rPr>
          <w:sz w:val="22"/>
          <w:szCs w:val="22"/>
        </w:rPr>
        <w:t>with respect to the correlation to the market indices?</w:t>
      </w:r>
    </w:p>
    <w:p w14:paraId="10BB7092" w14:textId="26646182" w:rsidR="008A3C23" w:rsidRPr="000536FA" w:rsidRDefault="002C4B01" w:rsidP="000536FA">
      <w:pPr>
        <w:pStyle w:val="Heading1"/>
        <w:jc w:val="left"/>
        <w:rPr>
          <w:b/>
          <w:sz w:val="22"/>
          <w:szCs w:val="22"/>
        </w:rPr>
      </w:pPr>
      <w:r w:rsidRPr="000536FA">
        <w:rPr>
          <w:b/>
          <w:sz w:val="22"/>
          <w:szCs w:val="22"/>
        </w:rPr>
        <w:lastRenderedPageBreak/>
        <w:t>Descriptive Statistics</w:t>
      </w:r>
    </w:p>
    <w:p w14:paraId="4F9C65C3" w14:textId="73C9F34D" w:rsidR="00A67356" w:rsidRPr="0054203A" w:rsidRDefault="00F9280A" w:rsidP="00A17B56">
      <w:pPr>
        <w:pStyle w:val="Text"/>
        <w:rPr>
          <w:sz w:val="22"/>
        </w:rPr>
      </w:pPr>
      <w:r w:rsidRPr="005C2334">
        <w:rPr>
          <w:sz w:val="22"/>
          <w:szCs w:val="22"/>
        </w:rPr>
        <w:t>The data</w:t>
      </w:r>
      <w:r w:rsidR="00DD358D" w:rsidRPr="005C2334">
        <w:rPr>
          <w:sz w:val="22"/>
          <w:szCs w:val="22"/>
        </w:rPr>
        <w:t xml:space="preserve"> used for this study </w:t>
      </w:r>
      <w:r w:rsidR="00235129" w:rsidRPr="005C2334">
        <w:rPr>
          <w:sz w:val="22"/>
          <w:szCs w:val="22"/>
        </w:rPr>
        <w:t xml:space="preserve">was sourced from </w:t>
      </w:r>
      <w:hyperlink r:id="rId9" w:history="1">
        <w:r w:rsidR="00235129" w:rsidRPr="005C2334">
          <w:rPr>
            <w:rStyle w:val="Hyperlink"/>
            <w:sz w:val="22"/>
            <w:szCs w:val="22"/>
          </w:rPr>
          <w:t>https://finance.yahoo.com</w:t>
        </w:r>
      </w:hyperlink>
      <w:r w:rsidR="00235129" w:rsidRPr="005C2334">
        <w:rPr>
          <w:sz w:val="22"/>
          <w:szCs w:val="22"/>
        </w:rPr>
        <w:t xml:space="preserve"> and is </w:t>
      </w:r>
      <w:r w:rsidR="008D193D" w:rsidRPr="005C2334">
        <w:rPr>
          <w:sz w:val="22"/>
          <w:szCs w:val="22"/>
        </w:rPr>
        <w:t xml:space="preserve">available for the public to download. </w:t>
      </w:r>
      <w:r w:rsidR="00E7125E" w:rsidRPr="0054203A">
        <w:rPr>
          <w:sz w:val="22"/>
        </w:rPr>
        <w:t xml:space="preserve">The </w:t>
      </w:r>
      <w:r w:rsidR="00164786" w:rsidRPr="0054203A">
        <w:rPr>
          <w:sz w:val="22"/>
        </w:rPr>
        <w:t xml:space="preserve">data set </w:t>
      </w:r>
      <w:r w:rsidR="006854A0" w:rsidRPr="0054203A">
        <w:rPr>
          <w:sz w:val="22"/>
        </w:rPr>
        <w:t>includes market values from all entities listed in Table 1</w:t>
      </w:r>
      <w:r w:rsidR="004542CA">
        <w:rPr>
          <w:sz w:val="22"/>
        </w:rPr>
        <w:t xml:space="preserve"> (see appendix)</w:t>
      </w:r>
      <w:r w:rsidR="00B83BD5" w:rsidRPr="0054203A">
        <w:rPr>
          <w:sz w:val="22"/>
        </w:rPr>
        <w:t xml:space="preserve">, which range from January 1, 2002 to </w:t>
      </w:r>
      <w:r w:rsidR="00901929" w:rsidRPr="0054203A">
        <w:rPr>
          <w:sz w:val="22"/>
        </w:rPr>
        <w:t xml:space="preserve">December </w:t>
      </w:r>
      <w:r w:rsidR="00077705" w:rsidRPr="0054203A">
        <w:rPr>
          <w:sz w:val="22"/>
        </w:rPr>
        <w:t xml:space="preserve">31, 2009. </w:t>
      </w:r>
    </w:p>
    <w:p w14:paraId="3D461819" w14:textId="77777777" w:rsidR="00D12413" w:rsidRDefault="00D12413" w:rsidP="00D12413">
      <w:pPr>
        <w:pStyle w:val="Text"/>
        <w:ind w:firstLine="0"/>
        <w:rPr>
          <w:sz w:val="22"/>
        </w:rPr>
      </w:pPr>
    </w:p>
    <w:p w14:paraId="102AA354" w14:textId="5B0CD36C" w:rsidR="006D7A8A" w:rsidRPr="009C1C84" w:rsidRDefault="009C1C84" w:rsidP="009C1C84">
      <w:pPr>
        <w:pStyle w:val="Text"/>
        <w:rPr>
          <w:sz w:val="22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8C17474" wp14:editId="638C2B77">
            <wp:simplePos x="0" y="0"/>
            <wp:positionH relativeFrom="column">
              <wp:posOffset>-5080</wp:posOffset>
            </wp:positionH>
            <wp:positionV relativeFrom="paragraph">
              <wp:posOffset>2739390</wp:posOffset>
            </wp:positionV>
            <wp:extent cx="3086100" cy="2314575"/>
            <wp:effectExtent l="0" t="0" r="0" b="0"/>
            <wp:wrapSquare wrapText="bothSides"/>
            <wp:docPr id="2" name="Picture 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8D3">
        <w:rPr>
          <w:noProof/>
        </w:rPr>
        <w:pict w14:anchorId="48AB067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.05pt;margin-top:187.3pt;width:243.5pt;height:.05pt;z-index:251661312;mso-position-horizontal-relative:text;mso-position-vertical-relative:text" stroked="f">
            <v:textbox style="mso-fit-shape-to-text:t" inset="0,0,0,0">
              <w:txbxContent>
                <w:p w14:paraId="642359F1" w14:textId="1AD16FAF" w:rsidR="00CD3DEE" w:rsidRPr="003F5F0F" w:rsidRDefault="00CD3DEE" w:rsidP="00CD3DEE">
                  <w:pPr>
                    <w:pStyle w:val="Caption"/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t xml:space="preserve">Figure </w:t>
                  </w:r>
                  <w:r w:rsidR="001460B3">
                    <w:rPr>
                      <w:noProof/>
                    </w:rPr>
                    <w:fldChar w:fldCharType="begin"/>
                  </w:r>
                  <w:r w:rsidR="001460B3">
                    <w:rPr>
                      <w:noProof/>
                    </w:rPr>
                    <w:instrText xml:space="preserve"> SEQ Figure \* ARABIC </w:instrText>
                  </w:r>
                  <w:r w:rsidR="001460B3"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1460B3">
                    <w:rPr>
                      <w:noProof/>
                    </w:rPr>
                    <w:fldChar w:fldCharType="end"/>
                  </w:r>
                  <w:r>
                    <w:t xml:space="preserve"> - Plot of raw index data values from 2002 to 2009</w:t>
                  </w:r>
                </w:p>
              </w:txbxContent>
            </v:textbox>
            <w10:wrap type="square"/>
          </v:shape>
        </w:pict>
      </w:r>
      <w:r w:rsidR="00CD3DEE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E5888DB" wp14:editId="09C59580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3092450" cy="2319020"/>
            <wp:effectExtent l="0" t="0" r="0" b="0"/>
            <wp:wrapSquare wrapText="bothSides"/>
            <wp:docPr id="1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705" w:rsidRPr="0054203A">
        <w:rPr>
          <w:sz w:val="22"/>
        </w:rPr>
        <w:t xml:space="preserve">The </w:t>
      </w:r>
      <w:r w:rsidR="00E77C5D">
        <w:rPr>
          <w:sz w:val="22"/>
        </w:rPr>
        <w:t>ind</w:t>
      </w:r>
      <w:r w:rsidR="00725BD5">
        <w:rPr>
          <w:sz w:val="22"/>
        </w:rPr>
        <w:t xml:space="preserve">ices are the three most </w:t>
      </w:r>
      <w:r w:rsidR="00113BB6">
        <w:rPr>
          <w:sz w:val="22"/>
        </w:rPr>
        <w:t xml:space="preserve">popular stock market </w:t>
      </w:r>
      <w:r w:rsidR="00940325">
        <w:rPr>
          <w:sz w:val="22"/>
        </w:rPr>
        <w:t xml:space="preserve">indices in the United States. </w:t>
      </w:r>
      <w:r w:rsidR="00F97C99">
        <w:rPr>
          <w:sz w:val="22"/>
        </w:rPr>
        <w:t xml:space="preserve">Unlike standard stock </w:t>
      </w:r>
      <w:r w:rsidR="00DC0F1F">
        <w:rPr>
          <w:sz w:val="22"/>
        </w:rPr>
        <w:t xml:space="preserve">data, they don’t carry a dollar value. Instead, their value is labeled as points, which are derived from </w:t>
      </w:r>
      <w:r w:rsidR="001E45D4">
        <w:rPr>
          <w:sz w:val="22"/>
        </w:rPr>
        <w:t xml:space="preserve">proportions of the market (normally from companies listed in their index). The Dow Jones </w:t>
      </w:r>
      <w:r w:rsidR="00E85617">
        <w:rPr>
          <w:sz w:val="22"/>
        </w:rPr>
        <w:t>Industrial Average</w:t>
      </w:r>
      <w:r w:rsidR="006B1082">
        <w:rPr>
          <w:sz w:val="22"/>
        </w:rPr>
        <w:t xml:space="preserve"> is calculated from the top 30 stocks in its index, which are all listed on the New York Stock Exchange</w:t>
      </w:r>
      <w:r w:rsidR="0023534A">
        <w:rPr>
          <w:sz w:val="22"/>
        </w:rPr>
        <w:t xml:space="preserve">. The Nasdaq </w:t>
      </w:r>
      <w:r w:rsidR="00705E5C">
        <w:rPr>
          <w:sz w:val="22"/>
        </w:rPr>
        <w:t xml:space="preserve">Composite Index is based off </w:t>
      </w:r>
      <w:r w:rsidR="00437C14">
        <w:rPr>
          <w:sz w:val="22"/>
        </w:rPr>
        <w:t>the performance of 3,000 companies listed on its index. The S&amp;P 500</w:t>
      </w:r>
      <w:r w:rsidR="00E163DE">
        <w:rPr>
          <w:sz w:val="22"/>
        </w:rPr>
        <w:t xml:space="preserve"> comprises of the leading companies in the US market and includes over 80% of all </w:t>
      </w:r>
      <w:r w:rsidR="00D86348">
        <w:rPr>
          <w:sz w:val="22"/>
        </w:rPr>
        <w:t xml:space="preserve">available market capital. The S&amp;P 500 is calculated based on its listed </w:t>
      </w:r>
      <w:r w:rsidR="00014294">
        <w:rPr>
          <w:sz w:val="22"/>
        </w:rPr>
        <w:t xml:space="preserve">companies and the number of publicly available shares of their listed companies. </w:t>
      </w:r>
      <w:r w:rsidR="004E01C9">
        <w:rPr>
          <w:sz w:val="22"/>
        </w:rPr>
        <w:t>Figure 1 plots the raw points of each index</w:t>
      </w:r>
      <w:r w:rsidR="00BF4F00">
        <w:rPr>
          <w:sz w:val="22"/>
        </w:rPr>
        <w:t>, which clearly shows an event occurred in 2008</w:t>
      </w:r>
      <w:r w:rsidR="00D84E6C">
        <w:rPr>
          <w:sz w:val="22"/>
        </w:rPr>
        <w:t>.</w:t>
      </w:r>
    </w:p>
    <w:p w14:paraId="0448238B" w14:textId="62535DB5" w:rsidR="000D5BF6" w:rsidRPr="0054203A" w:rsidRDefault="000D5BF6" w:rsidP="00BF0C69">
      <w:pPr>
        <w:pStyle w:val="Text"/>
        <w:rPr>
          <w:sz w:val="22"/>
        </w:rPr>
      </w:pPr>
    </w:p>
    <w:p w14:paraId="10B9A945" w14:textId="77777777" w:rsidR="005B536E" w:rsidRDefault="006818D3" w:rsidP="005B536E">
      <w:pPr>
        <w:pStyle w:val="Text"/>
        <w:rPr>
          <w:sz w:val="22"/>
        </w:rPr>
      </w:pPr>
      <w:r>
        <w:rPr>
          <w:noProof/>
        </w:rPr>
        <w:pict w14:anchorId="20FCC551">
          <v:shape id="_x0000_s1028" type="#_x0000_t202" style="position:absolute;left:0;text-align:left;margin-left:-251.55pt;margin-top:137.35pt;width:243pt;height:20.35pt;z-index:251663360;mso-position-horizontal-relative:text;mso-position-vertical-relative:text" stroked="f">
            <v:textbox style="mso-fit-shape-to-text:t" inset="0,0,0,0">
              <w:txbxContent>
                <w:p w14:paraId="1C2A8713" w14:textId="4EF192E7" w:rsidR="00CD3DEE" w:rsidRPr="00E453BA" w:rsidRDefault="00CD3DEE" w:rsidP="00CD3DEE">
                  <w:pPr>
                    <w:pStyle w:val="Caption"/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t xml:space="preserve">Figure </w:t>
                  </w:r>
                  <w:r w:rsidR="001460B3">
                    <w:rPr>
                      <w:noProof/>
                    </w:rPr>
                    <w:fldChar w:fldCharType="begin"/>
                  </w:r>
                  <w:r w:rsidR="001460B3">
                    <w:rPr>
                      <w:noProof/>
                    </w:rPr>
                    <w:instrText xml:space="preserve"> SEQ Figure \* ARABIC </w:instrText>
                  </w:r>
                  <w:r w:rsidR="001460B3"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1460B3">
                    <w:rPr>
                      <w:noProof/>
                    </w:rPr>
                    <w:fldChar w:fldCharType="end"/>
                  </w:r>
                  <w:r>
                    <w:t xml:space="preserve"> - Plot of major bank stock price from 2002 - 2009</w:t>
                  </w:r>
                </w:p>
              </w:txbxContent>
            </v:textbox>
            <w10:wrap type="square"/>
          </v:shape>
        </w:pict>
      </w:r>
      <w:r w:rsidR="00B577FF">
        <w:rPr>
          <w:sz w:val="22"/>
        </w:rPr>
        <w:t xml:space="preserve">The other variables are </w:t>
      </w:r>
      <w:r w:rsidR="00647E42">
        <w:rPr>
          <w:sz w:val="22"/>
        </w:rPr>
        <w:t xml:space="preserve">major </w:t>
      </w:r>
      <w:r w:rsidR="00B577FF">
        <w:rPr>
          <w:sz w:val="22"/>
        </w:rPr>
        <w:t>financial institutions all of which are either listed on the Dow Jones, S&amp;P 500 and/or Nasdaq</w:t>
      </w:r>
      <w:r w:rsidR="00647E42">
        <w:rPr>
          <w:sz w:val="22"/>
        </w:rPr>
        <w:t>. Since the financial institutions are</w:t>
      </w:r>
      <w:r w:rsidR="006A60AA">
        <w:rPr>
          <w:sz w:val="22"/>
        </w:rPr>
        <w:t xml:space="preserve"> some of the largest institutions in the US, there is a high probability they were stakeholders in the 2008 financial crisis.</w:t>
      </w:r>
      <w:r w:rsidR="006935E2">
        <w:rPr>
          <w:sz w:val="22"/>
        </w:rPr>
        <w:t xml:space="preserve"> </w:t>
      </w:r>
      <w:r w:rsidR="00EA2014">
        <w:rPr>
          <w:sz w:val="22"/>
        </w:rPr>
        <w:t xml:space="preserve">The values for </w:t>
      </w:r>
      <w:r w:rsidR="00813536">
        <w:rPr>
          <w:sz w:val="22"/>
        </w:rPr>
        <w:t>t</w:t>
      </w:r>
      <w:r w:rsidR="00EA2014">
        <w:rPr>
          <w:sz w:val="22"/>
        </w:rPr>
        <w:t xml:space="preserve">he </w:t>
      </w:r>
      <w:r w:rsidR="00724D6D">
        <w:rPr>
          <w:sz w:val="22"/>
        </w:rPr>
        <w:t>stocks are their respected share price</w:t>
      </w:r>
      <w:r w:rsidR="00813536">
        <w:rPr>
          <w:sz w:val="22"/>
        </w:rPr>
        <w:t xml:space="preserve">. Since the data is captured from 2002 through 2009, it is continual </w:t>
      </w:r>
      <w:r w:rsidR="00DD28EE">
        <w:rPr>
          <w:sz w:val="22"/>
        </w:rPr>
        <w:t>with the close share price marked on that given date.</w:t>
      </w:r>
      <w:r w:rsidR="005A1611">
        <w:rPr>
          <w:sz w:val="22"/>
        </w:rPr>
        <w:t xml:space="preserve"> Unlike the indices, there is no specific </w:t>
      </w:r>
      <w:r w:rsidR="00300FDA">
        <w:rPr>
          <w:sz w:val="22"/>
        </w:rPr>
        <w:t xml:space="preserve">calculation which determines </w:t>
      </w:r>
      <w:r w:rsidR="00BA47F3">
        <w:rPr>
          <w:sz w:val="22"/>
        </w:rPr>
        <w:t xml:space="preserve">the price of the share. </w:t>
      </w:r>
      <w:r w:rsidR="00B061C7">
        <w:rPr>
          <w:sz w:val="22"/>
        </w:rPr>
        <w:t>The price</w:t>
      </w:r>
      <w:r w:rsidR="00E12D72">
        <w:rPr>
          <w:sz w:val="22"/>
        </w:rPr>
        <w:t xml:space="preserve"> reflects a true market value </w:t>
      </w:r>
      <w:r w:rsidR="00B061C7">
        <w:rPr>
          <w:sz w:val="22"/>
        </w:rPr>
        <w:t xml:space="preserve">of the shares based on the supply and demand chain. </w:t>
      </w:r>
      <w:r w:rsidR="00E12D72">
        <w:rPr>
          <w:sz w:val="22"/>
        </w:rPr>
        <w:t xml:space="preserve">While the </w:t>
      </w:r>
      <w:r w:rsidR="001375DB">
        <w:rPr>
          <w:sz w:val="22"/>
        </w:rPr>
        <w:t>indices depend on their listed companies to determine their points, the share prices are all independent of each other</w:t>
      </w:r>
      <w:r w:rsidR="0011626F">
        <w:rPr>
          <w:sz w:val="22"/>
        </w:rPr>
        <w:t>. However</w:t>
      </w:r>
      <w:r w:rsidR="00E307A4">
        <w:rPr>
          <w:sz w:val="22"/>
        </w:rPr>
        <w:t xml:space="preserve">, there are extraneous variables which may affect them all since they all belong to the same sector. </w:t>
      </w:r>
      <w:r w:rsidR="00A84A7F">
        <w:rPr>
          <w:sz w:val="22"/>
        </w:rPr>
        <w:t xml:space="preserve">Figure 2 </w:t>
      </w:r>
      <w:r w:rsidR="000D2C79">
        <w:rPr>
          <w:sz w:val="22"/>
        </w:rPr>
        <w:t>shows the plot of the raw share prices of the selected financial institutions</w:t>
      </w:r>
      <w:r w:rsidR="00E27BC9">
        <w:rPr>
          <w:sz w:val="22"/>
        </w:rPr>
        <w:t xml:space="preserve">. Just like with the indices plot, there is </w:t>
      </w:r>
      <w:r w:rsidR="0020621B">
        <w:rPr>
          <w:sz w:val="22"/>
        </w:rPr>
        <w:t>visible</w:t>
      </w:r>
      <w:r w:rsidR="00E27BC9">
        <w:rPr>
          <w:sz w:val="22"/>
        </w:rPr>
        <w:t xml:space="preserve"> evidence of seasonality</w:t>
      </w:r>
      <w:r w:rsidR="003B4639">
        <w:rPr>
          <w:sz w:val="22"/>
        </w:rPr>
        <w:t>. In order to account for the seasonality, the data for all variables was transformed using a log transformation</w:t>
      </w:r>
      <w:r w:rsidR="005B536E">
        <w:rPr>
          <w:sz w:val="22"/>
        </w:rPr>
        <w:t>.</w:t>
      </w:r>
    </w:p>
    <w:p w14:paraId="27DCF458" w14:textId="5F5BF752" w:rsidR="00E97B99" w:rsidRDefault="002C4B01" w:rsidP="005B536E">
      <w:pPr>
        <w:pStyle w:val="Heading1"/>
        <w:jc w:val="left"/>
        <w:rPr>
          <w:b/>
          <w:sz w:val="22"/>
        </w:rPr>
      </w:pPr>
      <w:r w:rsidRPr="005B536E">
        <w:rPr>
          <w:b/>
          <w:sz w:val="22"/>
        </w:rPr>
        <w:t>Analysis</w:t>
      </w:r>
    </w:p>
    <w:p w14:paraId="6D645B30" w14:textId="592181CC" w:rsidR="00AD673A" w:rsidRDefault="00771030" w:rsidP="00812AC4">
      <w:pPr>
        <w:ind w:firstLine="202"/>
        <w:rPr>
          <w:sz w:val="22"/>
        </w:rPr>
      </w:pPr>
      <w:r>
        <w:rPr>
          <w:sz w:val="22"/>
        </w:rPr>
        <w:t xml:space="preserve">With the data </w:t>
      </w:r>
      <w:r w:rsidR="00DB6F49">
        <w:rPr>
          <w:sz w:val="22"/>
        </w:rPr>
        <w:t>sorted and transformed accordingly, the following hypothes</w:t>
      </w:r>
      <w:r w:rsidR="00812AC4">
        <w:rPr>
          <w:sz w:val="22"/>
        </w:rPr>
        <w:t>i</w:t>
      </w:r>
      <w:r w:rsidR="00DB6F49">
        <w:rPr>
          <w:sz w:val="22"/>
        </w:rPr>
        <w:t>s may now be tested:</w:t>
      </w:r>
    </w:p>
    <w:p w14:paraId="757D602C" w14:textId="77777777" w:rsidR="00812AC4" w:rsidRDefault="00812AC4" w:rsidP="00812AC4">
      <w:pPr>
        <w:ind w:firstLine="202"/>
        <w:rPr>
          <w:sz w:val="22"/>
        </w:rPr>
      </w:pPr>
    </w:p>
    <w:p w14:paraId="3D4846EE" w14:textId="2222CB38" w:rsidR="00420AB1" w:rsidRDefault="006818D3" w:rsidP="00987759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BAC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BBT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BK</m:t>
              </m:r>
            </m:sub>
          </m:sSub>
          <m:r>
            <w:rPr>
              <w:rFonts w:ascii="Cambria Math" w:hAnsi="Cambria Math"/>
              <w:sz w:val="22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ZION</m:t>
              </m:r>
            </m:sub>
          </m:sSub>
          <m:r>
            <w:rPr>
              <w:rFonts w:ascii="Cambria Math" w:hAnsi="Cambria Math"/>
              <w:sz w:val="22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</w:rPr>
            <m:t>:At least one does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t mean is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t the same</m:t>
          </m:r>
        </m:oMath>
      </m:oMathPara>
    </w:p>
    <w:tbl>
      <w:tblPr>
        <w:tblStyle w:val="TableGrid"/>
        <w:tblpPr w:leftFromText="180" w:rightFromText="180" w:vertAnchor="text" w:horzAnchor="margin" w:tblpXSpec="right" w:tblpY="31"/>
        <w:tblOverlap w:val="never"/>
        <w:tblW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621"/>
        <w:gridCol w:w="1620"/>
      </w:tblGrid>
      <w:tr w:rsidR="008C5DF8" w:rsidRPr="00722C1A" w14:paraId="0380A451" w14:textId="77777777" w:rsidTr="008A7790">
        <w:tc>
          <w:tcPr>
            <w:tcW w:w="4698" w:type="dxa"/>
            <w:gridSpan w:val="3"/>
            <w:tcBorders>
              <w:bottom w:val="double" w:sz="4" w:space="0" w:color="auto"/>
            </w:tcBorders>
          </w:tcPr>
          <w:p w14:paraId="37E26670" w14:textId="4A5ACAD6" w:rsidR="008C5DF8" w:rsidRPr="00722C1A" w:rsidRDefault="008C5DF8" w:rsidP="00623F18">
            <w:pPr>
              <w:pStyle w:val="Text"/>
              <w:ind w:firstLine="0"/>
              <w:rPr>
                <w:szCs w:val="22"/>
              </w:rPr>
            </w:pPr>
            <w:r>
              <w:rPr>
                <w:szCs w:val="22"/>
              </w:rPr>
              <w:lastRenderedPageBreak/>
              <w:t>TABLE 2</w:t>
            </w:r>
          </w:p>
        </w:tc>
      </w:tr>
      <w:tr w:rsidR="00623F18" w:rsidRPr="00722C1A" w14:paraId="2930C03A" w14:textId="77777777" w:rsidTr="008A7790">
        <w:tc>
          <w:tcPr>
            <w:tcW w:w="1457" w:type="dxa"/>
            <w:tcBorders>
              <w:top w:val="double" w:sz="4" w:space="0" w:color="auto"/>
              <w:bottom w:val="single" w:sz="4" w:space="0" w:color="auto"/>
            </w:tcBorders>
          </w:tcPr>
          <w:p w14:paraId="71CE4504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Index Model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4" w:space="0" w:color="auto"/>
            </w:tcBorders>
          </w:tcPr>
          <w:p w14:paraId="113A97DA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Durbin-Watson without lag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0FE0412B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Durbin-Watson with lag 1</w:t>
            </w:r>
          </w:p>
        </w:tc>
      </w:tr>
      <w:tr w:rsidR="00623F18" w:rsidRPr="00722C1A" w14:paraId="6125CBE2" w14:textId="77777777" w:rsidTr="008A7790">
        <w:tc>
          <w:tcPr>
            <w:tcW w:w="1457" w:type="dxa"/>
            <w:tcBorders>
              <w:top w:val="single" w:sz="4" w:space="0" w:color="auto"/>
            </w:tcBorders>
          </w:tcPr>
          <w:p w14:paraId="4E4B2DFD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Dow Jones</w:t>
            </w: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3530103D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0.2794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FEBB906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2.1202</w:t>
            </w:r>
          </w:p>
        </w:tc>
      </w:tr>
      <w:tr w:rsidR="00623F18" w:rsidRPr="00722C1A" w14:paraId="1A189433" w14:textId="77777777" w:rsidTr="008A7790">
        <w:tc>
          <w:tcPr>
            <w:tcW w:w="1457" w:type="dxa"/>
          </w:tcPr>
          <w:p w14:paraId="020B797E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S&amp;P500</w:t>
            </w:r>
          </w:p>
        </w:tc>
        <w:tc>
          <w:tcPr>
            <w:tcW w:w="1621" w:type="dxa"/>
          </w:tcPr>
          <w:p w14:paraId="0D4088D4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0.2674</w:t>
            </w:r>
          </w:p>
        </w:tc>
        <w:tc>
          <w:tcPr>
            <w:tcW w:w="1620" w:type="dxa"/>
          </w:tcPr>
          <w:p w14:paraId="7FCDED61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2.1324</w:t>
            </w:r>
          </w:p>
        </w:tc>
      </w:tr>
      <w:tr w:rsidR="00623F18" w:rsidRPr="00722C1A" w14:paraId="3C48230C" w14:textId="77777777" w:rsidTr="008A7790">
        <w:tc>
          <w:tcPr>
            <w:tcW w:w="1457" w:type="dxa"/>
            <w:tcBorders>
              <w:bottom w:val="double" w:sz="4" w:space="0" w:color="auto"/>
            </w:tcBorders>
          </w:tcPr>
          <w:p w14:paraId="3BFA175C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Nasdaq</w:t>
            </w:r>
          </w:p>
        </w:tc>
        <w:tc>
          <w:tcPr>
            <w:tcW w:w="1621" w:type="dxa"/>
            <w:tcBorders>
              <w:bottom w:val="double" w:sz="4" w:space="0" w:color="auto"/>
            </w:tcBorders>
          </w:tcPr>
          <w:p w14:paraId="045EEC0F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0.1109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4892A170" w14:textId="77777777" w:rsidR="00623F18" w:rsidRPr="00722C1A" w:rsidRDefault="00623F18" w:rsidP="00623F18">
            <w:pPr>
              <w:pStyle w:val="Text"/>
              <w:ind w:firstLine="0"/>
              <w:rPr>
                <w:szCs w:val="22"/>
              </w:rPr>
            </w:pPr>
            <w:r w:rsidRPr="00722C1A">
              <w:rPr>
                <w:szCs w:val="22"/>
              </w:rPr>
              <w:t>1.7916</w:t>
            </w:r>
          </w:p>
        </w:tc>
      </w:tr>
    </w:tbl>
    <w:p w14:paraId="662BEED0" w14:textId="1DDC79CE" w:rsidR="00987759" w:rsidRDefault="008D4305" w:rsidP="00623F18">
      <w:pPr>
        <w:ind w:firstLine="202"/>
        <w:jc w:val="both"/>
        <w:rPr>
          <w:sz w:val="22"/>
        </w:rPr>
      </w:pPr>
      <w:r>
        <w:rPr>
          <w:sz w:val="22"/>
        </w:rPr>
        <w:t xml:space="preserve">Considering the </w:t>
      </w:r>
      <w:r w:rsidR="00A43F36">
        <w:rPr>
          <w:sz w:val="22"/>
        </w:rPr>
        <w:t xml:space="preserve">companies selected are part of the same industry, there is a slight concern regarding the depth of independence between variables. </w:t>
      </w:r>
      <w:r w:rsidR="002470ED">
        <w:rPr>
          <w:sz w:val="22"/>
        </w:rPr>
        <w:t xml:space="preserve">Furthermore, it appears there is a trend in the </w:t>
      </w:r>
      <w:r w:rsidR="00F8132F">
        <w:rPr>
          <w:sz w:val="22"/>
        </w:rPr>
        <w:t>price of the shares for the given companies.</w:t>
      </w:r>
      <w:r w:rsidR="00CB46B7">
        <w:rPr>
          <w:sz w:val="22"/>
        </w:rPr>
        <w:t xml:space="preserve"> However, the residuals are </w:t>
      </w:r>
      <w:r w:rsidR="000C793F">
        <w:rPr>
          <w:sz w:val="22"/>
        </w:rPr>
        <w:t>normally distributed in the raw data. In order to address the trend violation</w:t>
      </w:r>
      <w:r w:rsidR="000F3F83">
        <w:rPr>
          <w:sz w:val="22"/>
        </w:rPr>
        <w:t xml:space="preserve">, a log transformation helps de-trend the residuals slightly. </w:t>
      </w:r>
      <w:r w:rsidR="00305DCF">
        <w:rPr>
          <w:sz w:val="22"/>
        </w:rPr>
        <w:t xml:space="preserve">A Durbin-Watson test confirms there is a </w:t>
      </w:r>
      <w:r w:rsidR="004415F7">
        <w:rPr>
          <w:sz w:val="22"/>
        </w:rPr>
        <w:t>positive auto</w:t>
      </w:r>
      <w:r w:rsidR="001F571B">
        <w:rPr>
          <w:sz w:val="22"/>
        </w:rPr>
        <w:t>correlation in the three models</w:t>
      </w:r>
      <w:r w:rsidR="00285D0F">
        <w:rPr>
          <w:sz w:val="22"/>
        </w:rPr>
        <w:t>.</w:t>
      </w:r>
      <w:r w:rsidR="00770D59">
        <w:rPr>
          <w:sz w:val="22"/>
        </w:rPr>
        <w:t xml:space="preserve"> However, once we apply a lag of 1 to the model, we can see </w:t>
      </w:r>
      <w:r w:rsidR="00F835F1">
        <w:rPr>
          <w:sz w:val="22"/>
        </w:rPr>
        <w:t>the Durbin-Watson stat</w:t>
      </w:r>
      <w:r w:rsidR="00CF0750">
        <w:rPr>
          <w:sz w:val="22"/>
        </w:rPr>
        <w:t>istic comes close to 2 and the autocorrelation is now addressed.</w:t>
      </w:r>
      <w:r w:rsidR="006A2E6C">
        <w:rPr>
          <w:sz w:val="22"/>
        </w:rPr>
        <w:t xml:space="preserve"> Having addressed the auto correlation, </w:t>
      </w:r>
      <w:r w:rsidR="00114F60">
        <w:rPr>
          <w:sz w:val="22"/>
        </w:rPr>
        <w:t xml:space="preserve">the </w:t>
      </w:r>
      <w:r w:rsidR="005F06F3">
        <w:rPr>
          <w:sz w:val="22"/>
        </w:rPr>
        <w:t>linear regression models may now be tested using a lag 1.</w:t>
      </w:r>
    </w:p>
    <w:p w14:paraId="2E398AD6" w14:textId="309987E7" w:rsidR="00C8348F" w:rsidRDefault="00C8348F" w:rsidP="00812AC4">
      <w:pPr>
        <w:ind w:firstLine="202"/>
        <w:rPr>
          <w:sz w:val="22"/>
        </w:rPr>
      </w:pPr>
    </w:p>
    <w:p w14:paraId="07530419" w14:textId="5894009C" w:rsidR="00520779" w:rsidRPr="009F0B29" w:rsidRDefault="006818D3" w:rsidP="000E0A03">
      <w:pPr>
        <w:ind w:firstLine="202"/>
        <w:rPr>
          <w:sz w:val="22"/>
        </w:rPr>
      </w:pPr>
      <w:r>
        <w:rPr>
          <w:noProof/>
        </w:rPr>
        <w:pict w14:anchorId="217C21F8">
          <v:shape id="Text Box 2" o:spid="_x0000_s1030" type="#_x0000_t202" style="position:absolute;left:0;text-align:left;margin-left:154.9pt;margin-top:4.55pt;width:312.35pt;height:49.2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">
            <v:textbox style="mso-fit-shape-to-text:t">
              <w:txbxContent>
                <w:p w14:paraId="3FFCE3EB" w14:textId="62187C45" w:rsidR="006B4091" w:rsidRPr="00712C8A" w:rsidRDefault="006B4091"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DJI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logBAC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logBAC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logZION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logZION</m:t>
                          </m:r>
                        </m:sub>
                      </m:sSub>
                    </m:oMath>
                  </m:oMathPara>
                </w:p>
                <w:p w14:paraId="3320CDD8" w14:textId="69E60C56" w:rsidR="006B4091" w:rsidRPr="00712C8A" w:rsidRDefault="006B4091"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GSPC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logBAC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logBAC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logZION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logZION</m:t>
                          </m:r>
                        </m:sub>
                      </m:sSub>
                    </m:oMath>
                  </m:oMathPara>
                </w:p>
                <w:p w14:paraId="39743A5A" w14:textId="3AEF52E1" w:rsidR="006B4091" w:rsidRPr="00712C8A" w:rsidRDefault="006B4091"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IXIC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logBAC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logBAC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logZION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logZION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  <w:r w:rsidR="00E43DC7">
        <w:rPr>
          <w:sz w:val="22"/>
        </w:rPr>
        <w:t xml:space="preserve">The following </w:t>
      </w:r>
      <w:r w:rsidR="00737CA6">
        <w:rPr>
          <w:sz w:val="22"/>
        </w:rPr>
        <w:t xml:space="preserve">models were utilized to </w:t>
      </w:r>
      <w:r w:rsidR="00293DA2">
        <w:rPr>
          <w:sz w:val="22"/>
        </w:rPr>
        <w:t xml:space="preserve">test the hypothesis above in order to determine if there is in fact a difference between the shares and whether they had any impact on the </w:t>
      </w:r>
      <w:r w:rsidR="003C37C7">
        <w:rPr>
          <w:sz w:val="22"/>
        </w:rPr>
        <w:t>index.</w:t>
      </w:r>
      <w:r w:rsidR="000E0A03">
        <w:rPr>
          <w:sz w:val="22"/>
        </w:rPr>
        <w:t xml:space="preserve"> </w:t>
      </w:r>
      <w:r w:rsidR="00520779">
        <w:rPr>
          <w:sz w:val="22"/>
        </w:rPr>
        <w:t>A linear regression was performed on the time series data with a</w:t>
      </w:r>
      <w:r w:rsidR="00C1792E">
        <w:rPr>
          <w:sz w:val="22"/>
        </w:rPr>
        <w:t xml:space="preserve"> lag of 1</w:t>
      </w:r>
      <w:r w:rsidR="000E0BA3">
        <w:rPr>
          <w:sz w:val="22"/>
        </w:rPr>
        <w:t>.</w:t>
      </w:r>
      <w:r w:rsidR="006D6F1A">
        <w:rPr>
          <w:sz w:val="22"/>
        </w:rPr>
        <w:t xml:space="preserve"> The </w:t>
      </w:r>
      <w:r w:rsidR="009D565A">
        <w:rPr>
          <w:sz w:val="22"/>
        </w:rPr>
        <w:t>model outputs are listed in Table 3 and shows the coefficient of each variable in the model</w:t>
      </w:r>
      <w:r w:rsidR="00EC60C8">
        <w:rPr>
          <w:sz w:val="22"/>
        </w:rPr>
        <w:t xml:space="preserve"> in addition to the p-value associated with the estimate to determine if it is statistically significant</w:t>
      </w:r>
      <w:r w:rsidR="005F742B">
        <w:rPr>
          <w:sz w:val="22"/>
        </w:rPr>
        <w:t>. The coefficient (listed as estimate in the table), shows the impact of the variable on the model</w:t>
      </w:r>
      <w:r w:rsidR="00645796">
        <w:rPr>
          <w:sz w:val="22"/>
        </w:rPr>
        <w:t xml:space="preserve">. If the estimate is positive, then it would have a positive effect on the model whereas a negative coefficient would indicate it has a negative </w:t>
      </w:r>
      <w:r w:rsidR="007050DD">
        <w:rPr>
          <w:sz w:val="22"/>
        </w:rPr>
        <w:t>effect on the model. The p-value measures the significance of the coefficient at a 95% confidence level</w:t>
      </w:r>
      <w:r w:rsidR="009E1DAA">
        <w:rPr>
          <w:sz w:val="22"/>
        </w:rPr>
        <w:t>.</w:t>
      </w:r>
    </w:p>
    <w:p w14:paraId="2F78398B" w14:textId="77777777" w:rsidR="00EC733D" w:rsidRDefault="00EC733D" w:rsidP="00812AC4">
      <w:pPr>
        <w:ind w:firstLine="202"/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1166"/>
        <w:gridCol w:w="916"/>
        <w:gridCol w:w="1166"/>
        <w:gridCol w:w="916"/>
        <w:gridCol w:w="1166"/>
        <w:gridCol w:w="919"/>
      </w:tblGrid>
      <w:tr w:rsidR="008C5DF8" w:rsidRPr="00204758" w14:paraId="1E5D2A1A" w14:textId="77777777" w:rsidTr="008A7790">
        <w:tc>
          <w:tcPr>
            <w:tcW w:w="1231" w:type="dxa"/>
            <w:tcBorders>
              <w:bottom w:val="double" w:sz="4" w:space="0" w:color="auto"/>
            </w:tcBorders>
          </w:tcPr>
          <w:p w14:paraId="3DC0C23E" w14:textId="4E67B1A3" w:rsidR="008C5DF8" w:rsidRPr="00204758" w:rsidRDefault="008C5DF8" w:rsidP="00812AC4">
            <w:r>
              <w:t>TABLE 3</w:t>
            </w:r>
          </w:p>
        </w:tc>
        <w:tc>
          <w:tcPr>
            <w:tcW w:w="2082" w:type="dxa"/>
            <w:gridSpan w:val="2"/>
            <w:tcBorders>
              <w:bottom w:val="double" w:sz="4" w:space="0" w:color="auto"/>
            </w:tcBorders>
          </w:tcPr>
          <w:p w14:paraId="26E8A51C" w14:textId="77777777" w:rsidR="008C5DF8" w:rsidRPr="00204758" w:rsidRDefault="008C5DF8" w:rsidP="002F105E">
            <w:pPr>
              <w:jc w:val="center"/>
            </w:pPr>
          </w:p>
        </w:tc>
        <w:tc>
          <w:tcPr>
            <w:tcW w:w="2082" w:type="dxa"/>
            <w:gridSpan w:val="2"/>
            <w:tcBorders>
              <w:bottom w:val="double" w:sz="4" w:space="0" w:color="auto"/>
            </w:tcBorders>
          </w:tcPr>
          <w:p w14:paraId="4612F2D2" w14:textId="77777777" w:rsidR="008C5DF8" w:rsidRPr="00204758" w:rsidRDefault="008C5DF8" w:rsidP="002F105E">
            <w:pPr>
              <w:jc w:val="center"/>
            </w:pPr>
          </w:p>
        </w:tc>
        <w:tc>
          <w:tcPr>
            <w:tcW w:w="2085" w:type="dxa"/>
            <w:gridSpan w:val="2"/>
            <w:tcBorders>
              <w:bottom w:val="double" w:sz="4" w:space="0" w:color="auto"/>
            </w:tcBorders>
          </w:tcPr>
          <w:p w14:paraId="5FFA3F59" w14:textId="77777777" w:rsidR="008C5DF8" w:rsidRPr="00204758" w:rsidRDefault="008C5DF8" w:rsidP="002F105E">
            <w:pPr>
              <w:jc w:val="center"/>
            </w:pPr>
          </w:p>
        </w:tc>
      </w:tr>
      <w:tr w:rsidR="00C8348F" w:rsidRPr="00204758" w14:paraId="4DD8B843" w14:textId="514BD421" w:rsidTr="008A7790">
        <w:tc>
          <w:tcPr>
            <w:tcW w:w="1231" w:type="dxa"/>
            <w:tcBorders>
              <w:top w:val="double" w:sz="4" w:space="0" w:color="auto"/>
              <w:bottom w:val="single" w:sz="4" w:space="0" w:color="auto"/>
            </w:tcBorders>
          </w:tcPr>
          <w:p w14:paraId="0EDE10F7" w14:textId="7AD2CE49" w:rsidR="005A242E" w:rsidRPr="00204758" w:rsidRDefault="005A242E" w:rsidP="00812AC4"/>
        </w:tc>
        <w:tc>
          <w:tcPr>
            <w:tcW w:w="2082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6A0E9E38" w14:textId="4F5699A6" w:rsidR="005A242E" w:rsidRPr="00204758" w:rsidRDefault="005A242E" w:rsidP="002F105E">
            <w:pPr>
              <w:jc w:val="center"/>
            </w:pPr>
            <w:r w:rsidRPr="00204758">
              <w:t>Dow Jones</w:t>
            </w:r>
          </w:p>
        </w:tc>
        <w:tc>
          <w:tcPr>
            <w:tcW w:w="2082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5FDB7D80" w14:textId="4D2905E8" w:rsidR="005A242E" w:rsidRPr="00204758" w:rsidRDefault="005A242E" w:rsidP="002F105E">
            <w:pPr>
              <w:jc w:val="center"/>
            </w:pPr>
            <w:r w:rsidRPr="00204758">
              <w:t>S&amp;P 500</w:t>
            </w:r>
          </w:p>
        </w:tc>
        <w:tc>
          <w:tcPr>
            <w:tcW w:w="2085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6515C8A2" w14:textId="7926F4CE" w:rsidR="005A242E" w:rsidRPr="00204758" w:rsidRDefault="005A242E" w:rsidP="002F105E">
            <w:pPr>
              <w:jc w:val="center"/>
            </w:pPr>
            <w:r w:rsidRPr="00204758">
              <w:t>Nasdaq</w:t>
            </w:r>
          </w:p>
        </w:tc>
      </w:tr>
      <w:tr w:rsidR="00CD1557" w:rsidRPr="00204758" w14:paraId="4E02B8F6" w14:textId="5915D746" w:rsidTr="008A7790"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0E21CE17" w14:textId="531E7388" w:rsidR="005A242E" w:rsidRPr="00204758" w:rsidRDefault="005A242E" w:rsidP="00812AC4">
            <w:r w:rsidRPr="00204758">
              <w:t>Variable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14:paraId="41EC0379" w14:textId="77FF3FCB" w:rsidR="005A242E" w:rsidRPr="00204758" w:rsidRDefault="002F105E" w:rsidP="00812AC4">
            <w:r w:rsidRPr="00204758">
              <w:t>Estimate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164E1EDD" w14:textId="526B75B8" w:rsidR="005A242E" w:rsidRPr="00204758" w:rsidRDefault="005A242E" w:rsidP="00812AC4">
            <w:r w:rsidRPr="00204758">
              <w:t>p-value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14:paraId="79722CB6" w14:textId="77AD4C1D" w:rsidR="005A242E" w:rsidRPr="00204758" w:rsidRDefault="002F105E" w:rsidP="00812AC4">
            <w:r w:rsidRPr="00204758">
              <w:t>Estimate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147CA911" w14:textId="4E7FF8B0" w:rsidR="005A242E" w:rsidRPr="00204758" w:rsidRDefault="005A242E" w:rsidP="00812AC4">
            <w:r w:rsidRPr="00204758">
              <w:t>p-value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14:paraId="0D79322A" w14:textId="01790C64" w:rsidR="005A242E" w:rsidRPr="00204758" w:rsidRDefault="002F105E" w:rsidP="00812AC4">
            <w:r w:rsidRPr="00204758">
              <w:t>Estimate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35F0835A" w14:textId="3206A730" w:rsidR="005A242E" w:rsidRPr="00204758" w:rsidRDefault="005A242E" w:rsidP="00812AC4">
            <w:r w:rsidRPr="00204758">
              <w:t>p-value</w:t>
            </w:r>
          </w:p>
        </w:tc>
      </w:tr>
      <w:tr w:rsidR="00CD1557" w:rsidRPr="00204758" w14:paraId="74693FCC" w14:textId="17FBCD2E" w:rsidTr="008A7790">
        <w:tc>
          <w:tcPr>
            <w:tcW w:w="1231" w:type="dxa"/>
            <w:tcBorders>
              <w:top w:val="single" w:sz="4" w:space="0" w:color="auto"/>
            </w:tcBorders>
          </w:tcPr>
          <w:p w14:paraId="597E8371" w14:textId="4DAAC65C" w:rsidR="005A242E" w:rsidRPr="00204758" w:rsidRDefault="002F105E" w:rsidP="00812AC4">
            <w:r w:rsidRPr="00204758">
              <w:t>Intercept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65856A3A" w14:textId="7B054231" w:rsidR="005A242E" w:rsidRPr="00204758" w:rsidRDefault="00997D48" w:rsidP="00812AC4">
            <w:r w:rsidRPr="00204758">
              <w:t>6.</w:t>
            </w:r>
            <w:r w:rsidR="00DB267A" w:rsidRPr="00204758">
              <w:t>8262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4A492DA7" w14:textId="2D148489" w:rsidR="005A242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4692EBF8" w14:textId="5E7DC107" w:rsidR="005A242E" w:rsidRPr="00204758" w:rsidRDefault="00D61026" w:rsidP="00812AC4">
            <w:r w:rsidRPr="00204758">
              <w:t>4.7373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14DE5AAE" w14:textId="7A4671E8" w:rsidR="005A242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7740766C" w14:textId="2F12514A" w:rsidR="005A242E" w:rsidRPr="00204758" w:rsidRDefault="007318EE" w:rsidP="00812AC4">
            <w:r w:rsidRPr="00204758">
              <w:t>4.7452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31FB2C29" w14:textId="1129BA2E" w:rsidR="005A242E" w:rsidRPr="00204758" w:rsidRDefault="006C798B" w:rsidP="00812AC4">
            <w:r w:rsidRPr="00204758">
              <w:t>&lt;.0001</w:t>
            </w:r>
          </w:p>
        </w:tc>
      </w:tr>
      <w:tr w:rsidR="00CD1557" w:rsidRPr="00204758" w14:paraId="2AF30E9C" w14:textId="0362DA8A" w:rsidTr="008A7790">
        <w:tc>
          <w:tcPr>
            <w:tcW w:w="1231" w:type="dxa"/>
          </w:tcPr>
          <w:p w14:paraId="04C1770A" w14:textId="56A39B54" w:rsidR="005A242E" w:rsidRPr="00204758" w:rsidRDefault="002F105E" w:rsidP="00812AC4">
            <w:r w:rsidRPr="00204758">
              <w:t>Date</w:t>
            </w:r>
          </w:p>
        </w:tc>
        <w:tc>
          <w:tcPr>
            <w:tcW w:w="1166" w:type="dxa"/>
          </w:tcPr>
          <w:p w14:paraId="0D006CEA" w14:textId="4D91BEC5" w:rsidR="005A242E" w:rsidRPr="00204758" w:rsidRDefault="00DB267A" w:rsidP="00812AC4">
            <w:r w:rsidRPr="00204758">
              <w:t>0.0000506</w:t>
            </w:r>
          </w:p>
        </w:tc>
        <w:tc>
          <w:tcPr>
            <w:tcW w:w="916" w:type="dxa"/>
          </w:tcPr>
          <w:p w14:paraId="645EFBE9" w14:textId="5E2A0EA2" w:rsidR="005A242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7B3502A2" w14:textId="55690B8B" w:rsidR="005A242E" w:rsidRPr="00204758" w:rsidRDefault="00D61026" w:rsidP="00812AC4">
            <w:r w:rsidRPr="00204758">
              <w:t>0.0000</w:t>
            </w:r>
            <w:r w:rsidR="00F06CF0" w:rsidRPr="00204758">
              <w:t>245</w:t>
            </w:r>
          </w:p>
        </w:tc>
        <w:tc>
          <w:tcPr>
            <w:tcW w:w="916" w:type="dxa"/>
          </w:tcPr>
          <w:p w14:paraId="0A19E830" w14:textId="6672F84C" w:rsidR="005A242E" w:rsidRPr="00204758" w:rsidRDefault="00B8187A" w:rsidP="00812AC4">
            <w:r w:rsidRPr="00204758">
              <w:t>0.0314</w:t>
            </w:r>
          </w:p>
        </w:tc>
        <w:tc>
          <w:tcPr>
            <w:tcW w:w="1166" w:type="dxa"/>
          </w:tcPr>
          <w:p w14:paraId="4E40AE8F" w14:textId="48A43F7B" w:rsidR="005A242E" w:rsidRPr="00204758" w:rsidRDefault="007318EE" w:rsidP="00812AC4">
            <w:r w:rsidRPr="00204758">
              <w:t>0.0000430</w:t>
            </w:r>
          </w:p>
        </w:tc>
        <w:tc>
          <w:tcPr>
            <w:tcW w:w="919" w:type="dxa"/>
          </w:tcPr>
          <w:p w14:paraId="026683BA" w14:textId="76E3E427" w:rsidR="005A242E" w:rsidRPr="00204758" w:rsidRDefault="00990B0C" w:rsidP="00812AC4">
            <w:r w:rsidRPr="00204758">
              <w:t>0.0004</w:t>
            </w:r>
          </w:p>
        </w:tc>
      </w:tr>
      <w:tr w:rsidR="00CD1557" w:rsidRPr="00204758" w14:paraId="1D9486A9" w14:textId="43E1A9AA" w:rsidTr="008A7790">
        <w:tc>
          <w:tcPr>
            <w:tcW w:w="1231" w:type="dxa"/>
          </w:tcPr>
          <w:p w14:paraId="49843EE7" w14:textId="661FB88C" w:rsidR="005A242E" w:rsidRPr="00204758" w:rsidRDefault="00FA2021" w:rsidP="00812AC4">
            <w:r w:rsidRPr="00204758">
              <w:t>logBAC</w:t>
            </w:r>
          </w:p>
        </w:tc>
        <w:tc>
          <w:tcPr>
            <w:tcW w:w="1166" w:type="dxa"/>
          </w:tcPr>
          <w:p w14:paraId="716E01A7" w14:textId="12DE620C" w:rsidR="005A242E" w:rsidRPr="00204758" w:rsidRDefault="00DB267A" w:rsidP="00812AC4">
            <w:r w:rsidRPr="00204758">
              <w:t>0.0617</w:t>
            </w:r>
          </w:p>
        </w:tc>
        <w:tc>
          <w:tcPr>
            <w:tcW w:w="916" w:type="dxa"/>
          </w:tcPr>
          <w:p w14:paraId="2442466D" w14:textId="0E8054AA" w:rsidR="005A242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7F2815E5" w14:textId="252906CD" w:rsidR="005A242E" w:rsidRPr="00204758" w:rsidRDefault="00F06CF0" w:rsidP="00812AC4">
            <w:r w:rsidRPr="00204758">
              <w:t>0.0669</w:t>
            </w:r>
          </w:p>
        </w:tc>
        <w:tc>
          <w:tcPr>
            <w:tcW w:w="916" w:type="dxa"/>
          </w:tcPr>
          <w:p w14:paraId="33E030D2" w14:textId="63CBF9B0" w:rsidR="005A242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42DA15A7" w14:textId="45DB8030" w:rsidR="005A242E" w:rsidRPr="00204758" w:rsidRDefault="007318EE" w:rsidP="00812AC4">
            <w:r w:rsidRPr="00204758">
              <w:t>-0.007296</w:t>
            </w:r>
          </w:p>
        </w:tc>
        <w:tc>
          <w:tcPr>
            <w:tcW w:w="919" w:type="dxa"/>
          </w:tcPr>
          <w:p w14:paraId="4336B321" w14:textId="4F7181C0" w:rsidR="005A242E" w:rsidRPr="00204758" w:rsidRDefault="00FB21E2" w:rsidP="00812AC4">
            <w:r w:rsidRPr="00204758">
              <w:t>0.5245</w:t>
            </w:r>
          </w:p>
        </w:tc>
      </w:tr>
      <w:tr w:rsidR="00CD1557" w:rsidRPr="00204758" w14:paraId="190126F7" w14:textId="47CE7FC9" w:rsidTr="008A7790">
        <w:tc>
          <w:tcPr>
            <w:tcW w:w="1231" w:type="dxa"/>
          </w:tcPr>
          <w:p w14:paraId="65FECAAC" w14:textId="0AB71923" w:rsidR="005A242E" w:rsidRPr="00204758" w:rsidRDefault="00FA2021" w:rsidP="00812AC4">
            <w:r w:rsidRPr="00204758">
              <w:t>logBBT</w:t>
            </w:r>
          </w:p>
        </w:tc>
        <w:tc>
          <w:tcPr>
            <w:tcW w:w="1166" w:type="dxa"/>
          </w:tcPr>
          <w:p w14:paraId="7AB21B0C" w14:textId="7D05F774" w:rsidR="005A242E" w:rsidRPr="00204758" w:rsidRDefault="00DB267A" w:rsidP="00812AC4">
            <w:r w:rsidRPr="00204758">
              <w:t>-0.0899</w:t>
            </w:r>
          </w:p>
        </w:tc>
        <w:tc>
          <w:tcPr>
            <w:tcW w:w="916" w:type="dxa"/>
          </w:tcPr>
          <w:p w14:paraId="1DC49126" w14:textId="6C3CC23D" w:rsidR="005A242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338F1F8E" w14:textId="77A32C04" w:rsidR="005A242E" w:rsidRPr="00204758" w:rsidRDefault="00F06CF0" w:rsidP="00812AC4">
            <w:r w:rsidRPr="00204758">
              <w:t>-0.1046</w:t>
            </w:r>
          </w:p>
        </w:tc>
        <w:tc>
          <w:tcPr>
            <w:tcW w:w="916" w:type="dxa"/>
          </w:tcPr>
          <w:p w14:paraId="6975AC04" w14:textId="2336B5F9" w:rsidR="005A242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5357FEF0" w14:textId="25EF7A02" w:rsidR="005A242E" w:rsidRPr="00204758" w:rsidRDefault="007318EE" w:rsidP="00812AC4">
            <w:r w:rsidRPr="00204758">
              <w:t>0.0126</w:t>
            </w:r>
          </w:p>
        </w:tc>
        <w:tc>
          <w:tcPr>
            <w:tcW w:w="919" w:type="dxa"/>
          </w:tcPr>
          <w:p w14:paraId="580928AC" w14:textId="73EF665D" w:rsidR="005A242E" w:rsidRPr="00204758" w:rsidRDefault="00FB21E2" w:rsidP="00812AC4">
            <w:r w:rsidRPr="00204758">
              <w:t>0.4583</w:t>
            </w:r>
          </w:p>
        </w:tc>
      </w:tr>
      <w:tr w:rsidR="00CD1557" w:rsidRPr="00204758" w14:paraId="4AF76552" w14:textId="266C3992" w:rsidTr="008A7790">
        <w:tc>
          <w:tcPr>
            <w:tcW w:w="1231" w:type="dxa"/>
          </w:tcPr>
          <w:p w14:paraId="5C408222" w14:textId="6C4312A1" w:rsidR="005A242E" w:rsidRPr="00204758" w:rsidRDefault="00FA2021" w:rsidP="00812AC4">
            <w:r w:rsidRPr="00204758">
              <w:t>logBK</w:t>
            </w:r>
          </w:p>
        </w:tc>
        <w:tc>
          <w:tcPr>
            <w:tcW w:w="1166" w:type="dxa"/>
          </w:tcPr>
          <w:p w14:paraId="31CD393B" w14:textId="215296E7" w:rsidR="005A242E" w:rsidRPr="00204758" w:rsidRDefault="00DB267A" w:rsidP="00812AC4">
            <w:r w:rsidRPr="00204758">
              <w:t>0.0805</w:t>
            </w:r>
          </w:p>
        </w:tc>
        <w:tc>
          <w:tcPr>
            <w:tcW w:w="916" w:type="dxa"/>
          </w:tcPr>
          <w:p w14:paraId="29194EF9" w14:textId="71F49F1C" w:rsidR="005A242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7B86DDC3" w14:textId="6C03B522" w:rsidR="005A242E" w:rsidRPr="00204758" w:rsidRDefault="00515649" w:rsidP="00812AC4">
            <w:r w:rsidRPr="00204758">
              <w:t>0.0713</w:t>
            </w:r>
          </w:p>
        </w:tc>
        <w:tc>
          <w:tcPr>
            <w:tcW w:w="916" w:type="dxa"/>
          </w:tcPr>
          <w:p w14:paraId="4D9CCEAF" w14:textId="04EFCD8E" w:rsidR="005A242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06729235" w14:textId="5652C66D" w:rsidR="005A242E" w:rsidRPr="00204758" w:rsidRDefault="007318EE" w:rsidP="00812AC4">
            <w:r w:rsidRPr="00204758">
              <w:t>0.0495</w:t>
            </w:r>
          </w:p>
        </w:tc>
        <w:tc>
          <w:tcPr>
            <w:tcW w:w="919" w:type="dxa"/>
          </w:tcPr>
          <w:p w14:paraId="20E96D7C" w14:textId="4684C408" w:rsidR="005A242E" w:rsidRPr="00204758" w:rsidRDefault="006C798B" w:rsidP="00812AC4">
            <w:r w:rsidRPr="00204758">
              <w:t>&lt;.0001</w:t>
            </w:r>
          </w:p>
        </w:tc>
      </w:tr>
      <w:tr w:rsidR="00CD1557" w:rsidRPr="00204758" w14:paraId="6653C3E7" w14:textId="330D2C82" w:rsidTr="008A7790">
        <w:tc>
          <w:tcPr>
            <w:tcW w:w="1231" w:type="dxa"/>
          </w:tcPr>
          <w:p w14:paraId="0FF6E3D7" w14:textId="1C42A096" w:rsidR="005A242E" w:rsidRPr="00204758" w:rsidRDefault="00FA2021" w:rsidP="00812AC4">
            <w:r w:rsidRPr="00204758">
              <w:t>logCMA</w:t>
            </w:r>
          </w:p>
        </w:tc>
        <w:tc>
          <w:tcPr>
            <w:tcW w:w="1166" w:type="dxa"/>
          </w:tcPr>
          <w:p w14:paraId="0D8F7BE9" w14:textId="764B2A4D" w:rsidR="005A242E" w:rsidRPr="00204758" w:rsidRDefault="00DB267A" w:rsidP="00812AC4">
            <w:r w:rsidRPr="00204758">
              <w:t>0.</w:t>
            </w:r>
            <w:r w:rsidR="00C57B53" w:rsidRPr="00204758">
              <w:t>0457</w:t>
            </w:r>
          </w:p>
        </w:tc>
        <w:tc>
          <w:tcPr>
            <w:tcW w:w="916" w:type="dxa"/>
          </w:tcPr>
          <w:p w14:paraId="54915416" w14:textId="5DAB34FA" w:rsidR="005A242E" w:rsidRPr="00204758" w:rsidRDefault="005565FA" w:rsidP="00812AC4">
            <w:r w:rsidRPr="00204758">
              <w:t>0.0021</w:t>
            </w:r>
          </w:p>
        </w:tc>
        <w:tc>
          <w:tcPr>
            <w:tcW w:w="1166" w:type="dxa"/>
          </w:tcPr>
          <w:p w14:paraId="711E12C1" w14:textId="2FE792D2" w:rsidR="005A242E" w:rsidRPr="00204758" w:rsidRDefault="00515649" w:rsidP="00812AC4">
            <w:r w:rsidRPr="00204758">
              <w:t>0.0680</w:t>
            </w:r>
          </w:p>
        </w:tc>
        <w:tc>
          <w:tcPr>
            <w:tcW w:w="916" w:type="dxa"/>
          </w:tcPr>
          <w:p w14:paraId="0F7EF2F3" w14:textId="7EAD679F" w:rsidR="005A242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03E493A2" w14:textId="4EE3C9CD" w:rsidR="005A242E" w:rsidRPr="00204758" w:rsidRDefault="007318EE" w:rsidP="00812AC4">
            <w:r w:rsidRPr="00204758">
              <w:t>0.0132</w:t>
            </w:r>
          </w:p>
        </w:tc>
        <w:tc>
          <w:tcPr>
            <w:tcW w:w="919" w:type="dxa"/>
          </w:tcPr>
          <w:p w14:paraId="1B714095" w14:textId="5864EDCC" w:rsidR="005A242E" w:rsidRPr="00204758" w:rsidRDefault="00FB21E2" w:rsidP="00812AC4">
            <w:r w:rsidRPr="00204758">
              <w:t>0.3747</w:t>
            </w:r>
          </w:p>
        </w:tc>
      </w:tr>
      <w:tr w:rsidR="002F105E" w:rsidRPr="00204758" w14:paraId="0C0F74FE" w14:textId="77777777" w:rsidTr="008A7790">
        <w:tc>
          <w:tcPr>
            <w:tcW w:w="1231" w:type="dxa"/>
          </w:tcPr>
          <w:p w14:paraId="70BDDCEE" w14:textId="4BE4C44B" w:rsidR="002F105E" w:rsidRPr="00204758" w:rsidRDefault="00FA2021" w:rsidP="00812AC4">
            <w:r w:rsidRPr="00204758">
              <w:t>log</w:t>
            </w:r>
            <w:r w:rsidR="00961B4E" w:rsidRPr="00204758">
              <w:t>COF</w:t>
            </w:r>
          </w:p>
        </w:tc>
        <w:tc>
          <w:tcPr>
            <w:tcW w:w="1166" w:type="dxa"/>
          </w:tcPr>
          <w:p w14:paraId="3ED1825C" w14:textId="6C604D4B" w:rsidR="002F105E" w:rsidRPr="00204758" w:rsidRDefault="00C57B53" w:rsidP="00812AC4">
            <w:r w:rsidRPr="00204758">
              <w:t>0.0649</w:t>
            </w:r>
          </w:p>
        </w:tc>
        <w:tc>
          <w:tcPr>
            <w:tcW w:w="916" w:type="dxa"/>
          </w:tcPr>
          <w:p w14:paraId="0682CC7B" w14:textId="2EF58FBF" w:rsidR="002F105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62EB41FB" w14:textId="7CF48943" w:rsidR="002F105E" w:rsidRPr="00204758" w:rsidRDefault="00515649" w:rsidP="00812AC4">
            <w:r w:rsidRPr="00204758">
              <w:t>0.0865</w:t>
            </w:r>
          </w:p>
        </w:tc>
        <w:tc>
          <w:tcPr>
            <w:tcW w:w="916" w:type="dxa"/>
          </w:tcPr>
          <w:p w14:paraId="764F15F8" w14:textId="5D6D30F3" w:rsidR="002F105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530AB87D" w14:textId="1D200834" w:rsidR="002F105E" w:rsidRPr="00204758" w:rsidRDefault="007318EE" w:rsidP="00812AC4">
            <w:r w:rsidRPr="00204758">
              <w:t>0.0881</w:t>
            </w:r>
          </w:p>
        </w:tc>
        <w:tc>
          <w:tcPr>
            <w:tcW w:w="919" w:type="dxa"/>
          </w:tcPr>
          <w:p w14:paraId="5D5474BE" w14:textId="2373B745" w:rsidR="002F105E" w:rsidRPr="00204758" w:rsidRDefault="006C798B" w:rsidP="00812AC4">
            <w:r w:rsidRPr="00204758">
              <w:t>&lt;.0001</w:t>
            </w:r>
          </w:p>
        </w:tc>
      </w:tr>
      <w:tr w:rsidR="002F105E" w:rsidRPr="00204758" w14:paraId="368D2E07" w14:textId="77777777" w:rsidTr="008A7790">
        <w:tc>
          <w:tcPr>
            <w:tcW w:w="1231" w:type="dxa"/>
          </w:tcPr>
          <w:p w14:paraId="4B7263D6" w14:textId="2D51E9C8" w:rsidR="002F105E" w:rsidRPr="00204758" w:rsidRDefault="00961B4E" w:rsidP="00812AC4">
            <w:r w:rsidRPr="00204758">
              <w:t>logFITB</w:t>
            </w:r>
          </w:p>
        </w:tc>
        <w:tc>
          <w:tcPr>
            <w:tcW w:w="1166" w:type="dxa"/>
          </w:tcPr>
          <w:p w14:paraId="7E6CE19B" w14:textId="053CACF0" w:rsidR="002F105E" w:rsidRPr="00204758" w:rsidRDefault="00C57B53" w:rsidP="00812AC4">
            <w:r w:rsidRPr="00204758">
              <w:t>0.0285</w:t>
            </w:r>
          </w:p>
        </w:tc>
        <w:tc>
          <w:tcPr>
            <w:tcW w:w="916" w:type="dxa"/>
          </w:tcPr>
          <w:p w14:paraId="3217E17C" w14:textId="7E0DDD81" w:rsidR="002F105E" w:rsidRPr="00204758" w:rsidRDefault="00D11016" w:rsidP="00812AC4">
            <w:r w:rsidRPr="00204758">
              <w:t>0.0010</w:t>
            </w:r>
          </w:p>
        </w:tc>
        <w:tc>
          <w:tcPr>
            <w:tcW w:w="1166" w:type="dxa"/>
          </w:tcPr>
          <w:p w14:paraId="5932145B" w14:textId="128377BA" w:rsidR="002F105E" w:rsidRPr="00204758" w:rsidRDefault="00515649" w:rsidP="00812AC4">
            <w:r w:rsidRPr="00204758">
              <w:t>0.0214</w:t>
            </w:r>
          </w:p>
        </w:tc>
        <w:tc>
          <w:tcPr>
            <w:tcW w:w="916" w:type="dxa"/>
          </w:tcPr>
          <w:p w14:paraId="7143DDBE" w14:textId="6D6EEDFF" w:rsidR="002F105E" w:rsidRPr="00204758" w:rsidRDefault="00B8187A" w:rsidP="00812AC4">
            <w:r w:rsidRPr="00204758">
              <w:t>0.0092</w:t>
            </w:r>
          </w:p>
        </w:tc>
        <w:tc>
          <w:tcPr>
            <w:tcW w:w="1166" w:type="dxa"/>
          </w:tcPr>
          <w:p w14:paraId="539EB76F" w14:textId="103D951B" w:rsidR="002F105E" w:rsidRPr="00204758" w:rsidRDefault="007318EE" w:rsidP="00812AC4">
            <w:r w:rsidRPr="00204758">
              <w:t>0.0267</w:t>
            </w:r>
          </w:p>
        </w:tc>
        <w:tc>
          <w:tcPr>
            <w:tcW w:w="919" w:type="dxa"/>
          </w:tcPr>
          <w:p w14:paraId="0AF00F72" w14:textId="4259D727" w:rsidR="002F105E" w:rsidRPr="00204758" w:rsidRDefault="00FB21E2" w:rsidP="00812AC4">
            <w:r w:rsidRPr="00204758">
              <w:t>0.0008</w:t>
            </w:r>
          </w:p>
        </w:tc>
      </w:tr>
      <w:tr w:rsidR="002F105E" w:rsidRPr="00204758" w14:paraId="0B32B3EC" w14:textId="77777777" w:rsidTr="008A7790">
        <w:tc>
          <w:tcPr>
            <w:tcW w:w="1231" w:type="dxa"/>
          </w:tcPr>
          <w:p w14:paraId="3C3F8A6E" w14:textId="378A292B" w:rsidR="002F105E" w:rsidRPr="00204758" w:rsidRDefault="00961B4E" w:rsidP="00812AC4">
            <w:r w:rsidRPr="00204758">
              <w:t>log</w:t>
            </w:r>
            <w:r w:rsidR="00C57B53" w:rsidRPr="00204758">
              <w:t>GS</w:t>
            </w:r>
          </w:p>
        </w:tc>
        <w:tc>
          <w:tcPr>
            <w:tcW w:w="1166" w:type="dxa"/>
          </w:tcPr>
          <w:p w14:paraId="6CAE7852" w14:textId="21EEFD3D" w:rsidR="002F105E" w:rsidRPr="00204758" w:rsidRDefault="002C77FE" w:rsidP="00812AC4">
            <w:r w:rsidRPr="00204758">
              <w:t>0.0962</w:t>
            </w:r>
          </w:p>
        </w:tc>
        <w:tc>
          <w:tcPr>
            <w:tcW w:w="916" w:type="dxa"/>
          </w:tcPr>
          <w:p w14:paraId="7C4AE43C" w14:textId="7ABC2767" w:rsidR="002F105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6022DB24" w14:textId="3C62837A" w:rsidR="002F105E" w:rsidRPr="00204758" w:rsidRDefault="00515649" w:rsidP="00812AC4">
            <w:r w:rsidRPr="00204758">
              <w:t>0.1292</w:t>
            </w:r>
          </w:p>
        </w:tc>
        <w:tc>
          <w:tcPr>
            <w:tcW w:w="916" w:type="dxa"/>
          </w:tcPr>
          <w:p w14:paraId="343DCBF8" w14:textId="17F0FE42" w:rsidR="002F105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41C6C568" w14:textId="64C781C7" w:rsidR="002F105E" w:rsidRPr="00204758" w:rsidRDefault="007318EE" w:rsidP="00812AC4">
            <w:r w:rsidRPr="00204758">
              <w:t>0.1641</w:t>
            </w:r>
          </w:p>
        </w:tc>
        <w:tc>
          <w:tcPr>
            <w:tcW w:w="919" w:type="dxa"/>
          </w:tcPr>
          <w:p w14:paraId="018FF83C" w14:textId="2BCC6D57" w:rsidR="002F105E" w:rsidRPr="00204758" w:rsidRDefault="006C798B" w:rsidP="00812AC4">
            <w:r w:rsidRPr="00204758">
              <w:t>&lt;.0001</w:t>
            </w:r>
          </w:p>
        </w:tc>
      </w:tr>
      <w:tr w:rsidR="002F105E" w:rsidRPr="00204758" w14:paraId="03F8155F" w14:textId="77777777" w:rsidTr="008A7790">
        <w:tc>
          <w:tcPr>
            <w:tcW w:w="1231" w:type="dxa"/>
          </w:tcPr>
          <w:p w14:paraId="76FA3875" w14:textId="78BEACAB" w:rsidR="002F105E" w:rsidRPr="00204758" w:rsidRDefault="00961B4E" w:rsidP="00812AC4">
            <w:r w:rsidRPr="00204758">
              <w:t>logHBAN</w:t>
            </w:r>
          </w:p>
        </w:tc>
        <w:tc>
          <w:tcPr>
            <w:tcW w:w="1166" w:type="dxa"/>
          </w:tcPr>
          <w:p w14:paraId="7854D983" w14:textId="04A1CC2F" w:rsidR="002F105E" w:rsidRPr="00204758" w:rsidRDefault="002C77FE" w:rsidP="00812AC4">
            <w:r w:rsidRPr="00204758">
              <w:t>-0.0601</w:t>
            </w:r>
          </w:p>
        </w:tc>
        <w:tc>
          <w:tcPr>
            <w:tcW w:w="916" w:type="dxa"/>
          </w:tcPr>
          <w:p w14:paraId="6A295DEA" w14:textId="1F40A1BE" w:rsidR="002F105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5004C66E" w14:textId="40276BD1" w:rsidR="002F105E" w:rsidRPr="00204758" w:rsidRDefault="001B7DC6" w:rsidP="00812AC4">
            <w:r w:rsidRPr="00204758">
              <w:t>-0.0470</w:t>
            </w:r>
          </w:p>
        </w:tc>
        <w:tc>
          <w:tcPr>
            <w:tcW w:w="916" w:type="dxa"/>
          </w:tcPr>
          <w:p w14:paraId="623D3D6E" w14:textId="1356D883" w:rsidR="002F105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626A8C23" w14:textId="03D2ABAA" w:rsidR="002F105E" w:rsidRPr="00204758" w:rsidRDefault="007318EE" w:rsidP="00812AC4">
            <w:r w:rsidRPr="00204758">
              <w:t>-0.007955</w:t>
            </w:r>
          </w:p>
        </w:tc>
        <w:tc>
          <w:tcPr>
            <w:tcW w:w="919" w:type="dxa"/>
          </w:tcPr>
          <w:p w14:paraId="2C8EF920" w14:textId="567B274D" w:rsidR="002F105E" w:rsidRPr="00204758" w:rsidRDefault="00CD1557" w:rsidP="00812AC4">
            <w:r w:rsidRPr="00204758">
              <w:t>0.3661</w:t>
            </w:r>
          </w:p>
        </w:tc>
      </w:tr>
      <w:tr w:rsidR="002F105E" w:rsidRPr="00204758" w14:paraId="055E7F93" w14:textId="77777777" w:rsidTr="008A7790">
        <w:tc>
          <w:tcPr>
            <w:tcW w:w="1231" w:type="dxa"/>
          </w:tcPr>
          <w:p w14:paraId="6719C702" w14:textId="3335A55A" w:rsidR="002F105E" w:rsidRPr="00204758" w:rsidRDefault="00961B4E" w:rsidP="00812AC4">
            <w:r w:rsidRPr="00204758">
              <w:t>logJPM</w:t>
            </w:r>
          </w:p>
        </w:tc>
        <w:tc>
          <w:tcPr>
            <w:tcW w:w="1166" w:type="dxa"/>
          </w:tcPr>
          <w:p w14:paraId="62F49874" w14:textId="5C743C5B" w:rsidR="002F105E" w:rsidRPr="00204758" w:rsidRDefault="00A64F33" w:rsidP="00812AC4">
            <w:r w:rsidRPr="00204758">
              <w:t>0.0416</w:t>
            </w:r>
          </w:p>
        </w:tc>
        <w:tc>
          <w:tcPr>
            <w:tcW w:w="916" w:type="dxa"/>
          </w:tcPr>
          <w:p w14:paraId="5C89763A" w14:textId="429BB69A" w:rsidR="002F105E" w:rsidRPr="00204758" w:rsidRDefault="00D11016" w:rsidP="00812AC4">
            <w:r w:rsidRPr="00204758">
              <w:t>0.0033</w:t>
            </w:r>
          </w:p>
        </w:tc>
        <w:tc>
          <w:tcPr>
            <w:tcW w:w="1166" w:type="dxa"/>
          </w:tcPr>
          <w:p w14:paraId="208971FA" w14:textId="07DA1068" w:rsidR="002F105E" w:rsidRPr="00204758" w:rsidRDefault="001B7DC6" w:rsidP="00812AC4">
            <w:r w:rsidRPr="00204758">
              <w:t>0.009600</w:t>
            </w:r>
          </w:p>
        </w:tc>
        <w:tc>
          <w:tcPr>
            <w:tcW w:w="916" w:type="dxa"/>
          </w:tcPr>
          <w:p w14:paraId="53E654AB" w14:textId="1B8C94B1" w:rsidR="002F105E" w:rsidRPr="00204758" w:rsidRDefault="00B8187A" w:rsidP="00812AC4">
            <w:r w:rsidRPr="00204758">
              <w:t>0.4779</w:t>
            </w:r>
          </w:p>
        </w:tc>
        <w:tc>
          <w:tcPr>
            <w:tcW w:w="1166" w:type="dxa"/>
          </w:tcPr>
          <w:p w14:paraId="464AFD96" w14:textId="790C3E8E" w:rsidR="002F105E" w:rsidRPr="00204758" w:rsidRDefault="007318EE" w:rsidP="00812AC4">
            <w:r w:rsidRPr="00204758">
              <w:t>0.1049</w:t>
            </w:r>
          </w:p>
        </w:tc>
        <w:tc>
          <w:tcPr>
            <w:tcW w:w="919" w:type="dxa"/>
          </w:tcPr>
          <w:p w14:paraId="45EF38B0" w14:textId="6D2F3EB9" w:rsidR="002F105E" w:rsidRPr="00204758" w:rsidRDefault="006C798B" w:rsidP="00812AC4">
            <w:r w:rsidRPr="00204758">
              <w:t>&lt;.0001</w:t>
            </w:r>
          </w:p>
        </w:tc>
      </w:tr>
      <w:tr w:rsidR="002F105E" w:rsidRPr="00204758" w14:paraId="02CDAD13" w14:textId="77777777" w:rsidTr="008A7790">
        <w:tc>
          <w:tcPr>
            <w:tcW w:w="1231" w:type="dxa"/>
          </w:tcPr>
          <w:p w14:paraId="408539B4" w14:textId="54EED0C4" w:rsidR="002F105E" w:rsidRPr="00204758" w:rsidRDefault="00961B4E" w:rsidP="00812AC4">
            <w:r w:rsidRPr="00204758">
              <w:t>logKEY</w:t>
            </w:r>
          </w:p>
        </w:tc>
        <w:tc>
          <w:tcPr>
            <w:tcW w:w="1166" w:type="dxa"/>
          </w:tcPr>
          <w:p w14:paraId="52039351" w14:textId="737125F7" w:rsidR="002F105E" w:rsidRPr="00204758" w:rsidRDefault="00A64F33" w:rsidP="00812AC4">
            <w:r w:rsidRPr="00204758">
              <w:t>-0.0198</w:t>
            </w:r>
          </w:p>
        </w:tc>
        <w:tc>
          <w:tcPr>
            <w:tcW w:w="916" w:type="dxa"/>
          </w:tcPr>
          <w:p w14:paraId="6E377DF6" w14:textId="22CB90C9" w:rsidR="002F105E" w:rsidRPr="00204758" w:rsidRDefault="00D11016" w:rsidP="00812AC4">
            <w:r w:rsidRPr="00204758">
              <w:t>0.0638</w:t>
            </w:r>
          </w:p>
        </w:tc>
        <w:tc>
          <w:tcPr>
            <w:tcW w:w="1166" w:type="dxa"/>
          </w:tcPr>
          <w:p w14:paraId="61E84A04" w14:textId="5C7960AA" w:rsidR="002F105E" w:rsidRPr="00204758" w:rsidRDefault="001B7DC6" w:rsidP="00812AC4">
            <w:r w:rsidRPr="00204758">
              <w:t>-0.0246</w:t>
            </w:r>
          </w:p>
        </w:tc>
        <w:tc>
          <w:tcPr>
            <w:tcW w:w="916" w:type="dxa"/>
          </w:tcPr>
          <w:p w14:paraId="276C5AD7" w14:textId="4B6BD97F" w:rsidR="002F105E" w:rsidRPr="00204758" w:rsidRDefault="00B8187A" w:rsidP="00812AC4">
            <w:r w:rsidRPr="00204758">
              <w:t>0.0157</w:t>
            </w:r>
          </w:p>
        </w:tc>
        <w:tc>
          <w:tcPr>
            <w:tcW w:w="1166" w:type="dxa"/>
          </w:tcPr>
          <w:p w14:paraId="02E5A65A" w14:textId="12F42B48" w:rsidR="002F105E" w:rsidRPr="00204758" w:rsidRDefault="007318EE" w:rsidP="00812AC4">
            <w:r w:rsidRPr="00204758">
              <w:t>0.007417</w:t>
            </w:r>
          </w:p>
        </w:tc>
        <w:tc>
          <w:tcPr>
            <w:tcW w:w="919" w:type="dxa"/>
          </w:tcPr>
          <w:p w14:paraId="3F2B7FAC" w14:textId="53DEE9D0" w:rsidR="002F105E" w:rsidRPr="00204758" w:rsidRDefault="00CD1557" w:rsidP="00812AC4">
            <w:r w:rsidRPr="00204758">
              <w:t>0.4733</w:t>
            </w:r>
          </w:p>
        </w:tc>
      </w:tr>
      <w:tr w:rsidR="00961B4E" w:rsidRPr="00204758" w14:paraId="3D3FBDD3" w14:textId="77777777" w:rsidTr="008A7790">
        <w:tc>
          <w:tcPr>
            <w:tcW w:w="1231" w:type="dxa"/>
          </w:tcPr>
          <w:p w14:paraId="14FCD673" w14:textId="62EABCF9" w:rsidR="00961B4E" w:rsidRPr="00204758" w:rsidRDefault="00961B4E" w:rsidP="00812AC4">
            <w:r w:rsidRPr="00204758">
              <w:t>logMS</w:t>
            </w:r>
          </w:p>
        </w:tc>
        <w:tc>
          <w:tcPr>
            <w:tcW w:w="1166" w:type="dxa"/>
          </w:tcPr>
          <w:p w14:paraId="42BBC980" w14:textId="45ACE155" w:rsidR="00961B4E" w:rsidRPr="00204758" w:rsidRDefault="00A64F33" w:rsidP="00812AC4">
            <w:r w:rsidRPr="00204758">
              <w:t>0.0236</w:t>
            </w:r>
          </w:p>
        </w:tc>
        <w:tc>
          <w:tcPr>
            <w:tcW w:w="916" w:type="dxa"/>
          </w:tcPr>
          <w:p w14:paraId="392E1788" w14:textId="0877FC5F" w:rsidR="00961B4E" w:rsidRPr="00204758" w:rsidRDefault="00386430" w:rsidP="00812AC4">
            <w:r w:rsidRPr="00204758">
              <w:t>0.0320</w:t>
            </w:r>
          </w:p>
        </w:tc>
        <w:tc>
          <w:tcPr>
            <w:tcW w:w="1166" w:type="dxa"/>
          </w:tcPr>
          <w:p w14:paraId="384982B1" w14:textId="74EA84D7" w:rsidR="00961B4E" w:rsidRPr="00204758" w:rsidRDefault="001B7DC6" w:rsidP="00812AC4">
            <w:r w:rsidRPr="00204758">
              <w:t>0.0362</w:t>
            </w:r>
          </w:p>
        </w:tc>
        <w:tc>
          <w:tcPr>
            <w:tcW w:w="916" w:type="dxa"/>
          </w:tcPr>
          <w:p w14:paraId="7727824F" w14:textId="7BB1EAD8" w:rsidR="00961B4E" w:rsidRPr="00204758" w:rsidRDefault="00B8187A" w:rsidP="00812AC4">
            <w:r w:rsidRPr="00204758">
              <w:t>0.0005</w:t>
            </w:r>
          </w:p>
        </w:tc>
        <w:tc>
          <w:tcPr>
            <w:tcW w:w="1166" w:type="dxa"/>
          </w:tcPr>
          <w:p w14:paraId="41BF11E0" w14:textId="01F1BADA" w:rsidR="00961B4E" w:rsidRPr="00204758" w:rsidRDefault="007318EE" w:rsidP="00812AC4">
            <w:r w:rsidRPr="00204758">
              <w:t>0.0546</w:t>
            </w:r>
          </w:p>
        </w:tc>
        <w:tc>
          <w:tcPr>
            <w:tcW w:w="919" w:type="dxa"/>
          </w:tcPr>
          <w:p w14:paraId="5A1D9DE8" w14:textId="5F4187A7" w:rsidR="00961B4E" w:rsidRPr="00204758" w:rsidRDefault="006C798B" w:rsidP="00812AC4">
            <w:r w:rsidRPr="00204758">
              <w:t>&lt;.0001</w:t>
            </w:r>
          </w:p>
        </w:tc>
      </w:tr>
      <w:tr w:rsidR="00961B4E" w:rsidRPr="00204758" w14:paraId="102AD307" w14:textId="77777777" w:rsidTr="008A7790">
        <w:tc>
          <w:tcPr>
            <w:tcW w:w="1231" w:type="dxa"/>
          </w:tcPr>
          <w:p w14:paraId="47194D6C" w14:textId="5FFC6C3D" w:rsidR="00961B4E" w:rsidRPr="00204758" w:rsidRDefault="00961B4E" w:rsidP="00812AC4">
            <w:r w:rsidRPr="00204758">
              <w:t>logMTB</w:t>
            </w:r>
          </w:p>
        </w:tc>
        <w:tc>
          <w:tcPr>
            <w:tcW w:w="1166" w:type="dxa"/>
          </w:tcPr>
          <w:p w14:paraId="30BC14F5" w14:textId="48902A63" w:rsidR="00961B4E" w:rsidRPr="00204758" w:rsidRDefault="00DD354C" w:rsidP="00812AC4">
            <w:r w:rsidRPr="00204758">
              <w:t>-0.0244</w:t>
            </w:r>
          </w:p>
        </w:tc>
        <w:tc>
          <w:tcPr>
            <w:tcW w:w="916" w:type="dxa"/>
          </w:tcPr>
          <w:p w14:paraId="3A7CC3FC" w14:textId="2BE52789" w:rsidR="00961B4E" w:rsidRPr="00204758" w:rsidRDefault="00386430" w:rsidP="00812AC4">
            <w:r w:rsidRPr="00204758">
              <w:t>0.1764</w:t>
            </w:r>
          </w:p>
        </w:tc>
        <w:tc>
          <w:tcPr>
            <w:tcW w:w="1166" w:type="dxa"/>
          </w:tcPr>
          <w:p w14:paraId="5F77713D" w14:textId="7C2C686B" w:rsidR="00961B4E" w:rsidRPr="00204758" w:rsidRDefault="001B7DC6" w:rsidP="00812AC4">
            <w:r w:rsidRPr="00204758">
              <w:t>-0.006346</w:t>
            </w:r>
          </w:p>
        </w:tc>
        <w:tc>
          <w:tcPr>
            <w:tcW w:w="916" w:type="dxa"/>
          </w:tcPr>
          <w:p w14:paraId="04401113" w14:textId="09EF0551" w:rsidR="00961B4E" w:rsidRPr="00204758" w:rsidRDefault="00B8187A" w:rsidP="00812AC4">
            <w:r w:rsidRPr="00204758">
              <w:t>0.7114</w:t>
            </w:r>
          </w:p>
        </w:tc>
        <w:tc>
          <w:tcPr>
            <w:tcW w:w="1166" w:type="dxa"/>
          </w:tcPr>
          <w:p w14:paraId="28DBA633" w14:textId="45CC4E0C" w:rsidR="00961B4E" w:rsidRPr="00204758" w:rsidRDefault="007318EE" w:rsidP="00812AC4">
            <w:r w:rsidRPr="00204758">
              <w:t>0.0332</w:t>
            </w:r>
          </w:p>
        </w:tc>
        <w:tc>
          <w:tcPr>
            <w:tcW w:w="919" w:type="dxa"/>
          </w:tcPr>
          <w:p w14:paraId="0D83B105" w14:textId="3FFA4E16" w:rsidR="00961B4E" w:rsidRPr="00204758" w:rsidRDefault="00CD1557" w:rsidP="00812AC4">
            <w:r w:rsidRPr="00204758">
              <w:t>0.0466</w:t>
            </w:r>
          </w:p>
        </w:tc>
      </w:tr>
      <w:tr w:rsidR="00961B4E" w:rsidRPr="00204758" w14:paraId="3D52EFBC" w14:textId="77777777" w:rsidTr="008A7790">
        <w:tc>
          <w:tcPr>
            <w:tcW w:w="1231" w:type="dxa"/>
          </w:tcPr>
          <w:p w14:paraId="64F8650C" w14:textId="58516F1A" w:rsidR="00961B4E" w:rsidRPr="00204758" w:rsidRDefault="00961B4E" w:rsidP="00812AC4">
            <w:r w:rsidRPr="00204758">
              <w:t>logPBCT</w:t>
            </w:r>
          </w:p>
        </w:tc>
        <w:tc>
          <w:tcPr>
            <w:tcW w:w="1166" w:type="dxa"/>
          </w:tcPr>
          <w:p w14:paraId="28497027" w14:textId="34C139FD" w:rsidR="00961B4E" w:rsidRPr="00204758" w:rsidRDefault="00DD354C" w:rsidP="00812AC4">
            <w:r w:rsidRPr="00204758">
              <w:t>0.0480</w:t>
            </w:r>
          </w:p>
        </w:tc>
        <w:tc>
          <w:tcPr>
            <w:tcW w:w="916" w:type="dxa"/>
          </w:tcPr>
          <w:p w14:paraId="24604623" w14:textId="312C9FC1" w:rsidR="00961B4E" w:rsidRPr="00204758" w:rsidRDefault="00386430" w:rsidP="00812AC4">
            <w:r w:rsidRPr="00204758">
              <w:t>0.0004</w:t>
            </w:r>
          </w:p>
        </w:tc>
        <w:tc>
          <w:tcPr>
            <w:tcW w:w="1166" w:type="dxa"/>
          </w:tcPr>
          <w:p w14:paraId="1C6F6883" w14:textId="0524FF4D" w:rsidR="00961B4E" w:rsidRPr="00204758" w:rsidRDefault="001B7DC6" w:rsidP="00812AC4">
            <w:r w:rsidRPr="00204758">
              <w:t>0.0924</w:t>
            </w:r>
          </w:p>
        </w:tc>
        <w:tc>
          <w:tcPr>
            <w:tcW w:w="916" w:type="dxa"/>
          </w:tcPr>
          <w:p w14:paraId="79091B1D" w14:textId="5DE2E992" w:rsidR="00961B4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6D622A35" w14:textId="7F1F8957" w:rsidR="00961B4E" w:rsidRPr="00204758" w:rsidRDefault="007318EE" w:rsidP="00812AC4">
            <w:r w:rsidRPr="00204758">
              <w:t>0.0797</w:t>
            </w:r>
          </w:p>
        </w:tc>
        <w:tc>
          <w:tcPr>
            <w:tcW w:w="919" w:type="dxa"/>
          </w:tcPr>
          <w:p w14:paraId="69FA2B10" w14:textId="7BB0C6DA" w:rsidR="00961B4E" w:rsidRPr="00204758" w:rsidRDefault="006C798B" w:rsidP="00812AC4">
            <w:r w:rsidRPr="00204758">
              <w:t>&lt;.0001</w:t>
            </w:r>
          </w:p>
        </w:tc>
      </w:tr>
      <w:tr w:rsidR="00961B4E" w:rsidRPr="00204758" w14:paraId="773E5DDC" w14:textId="77777777" w:rsidTr="008A7790">
        <w:tc>
          <w:tcPr>
            <w:tcW w:w="1231" w:type="dxa"/>
          </w:tcPr>
          <w:p w14:paraId="3ED15D5B" w14:textId="567D5E8E" w:rsidR="00961B4E" w:rsidRPr="00204758" w:rsidRDefault="00961B4E" w:rsidP="00812AC4">
            <w:r w:rsidRPr="00204758">
              <w:t>logPNC</w:t>
            </w:r>
          </w:p>
        </w:tc>
        <w:tc>
          <w:tcPr>
            <w:tcW w:w="1166" w:type="dxa"/>
          </w:tcPr>
          <w:p w14:paraId="00F7509E" w14:textId="31EAC0C8" w:rsidR="00961B4E" w:rsidRPr="00204758" w:rsidRDefault="00DD354C" w:rsidP="00812AC4">
            <w:r w:rsidRPr="00204758">
              <w:t>0.0307</w:t>
            </w:r>
          </w:p>
        </w:tc>
        <w:tc>
          <w:tcPr>
            <w:tcW w:w="916" w:type="dxa"/>
          </w:tcPr>
          <w:p w14:paraId="2ADC67BC" w14:textId="0787B983" w:rsidR="00961B4E" w:rsidRPr="00204758" w:rsidRDefault="00386430" w:rsidP="00812AC4">
            <w:r w:rsidRPr="00204758">
              <w:t>0.0260</w:t>
            </w:r>
          </w:p>
        </w:tc>
        <w:tc>
          <w:tcPr>
            <w:tcW w:w="1166" w:type="dxa"/>
          </w:tcPr>
          <w:p w14:paraId="648462D3" w14:textId="454961AE" w:rsidR="00961B4E" w:rsidRPr="00204758" w:rsidRDefault="001377EC" w:rsidP="00812AC4">
            <w:r w:rsidRPr="00204758">
              <w:t>0.0511</w:t>
            </w:r>
          </w:p>
        </w:tc>
        <w:tc>
          <w:tcPr>
            <w:tcW w:w="916" w:type="dxa"/>
          </w:tcPr>
          <w:p w14:paraId="45D02197" w14:textId="7D99F196" w:rsidR="00961B4E" w:rsidRPr="00204758" w:rsidRDefault="00D61026" w:rsidP="00812AC4">
            <w:r w:rsidRPr="00204758">
              <w:t>0.0001</w:t>
            </w:r>
          </w:p>
        </w:tc>
        <w:tc>
          <w:tcPr>
            <w:tcW w:w="1166" w:type="dxa"/>
          </w:tcPr>
          <w:p w14:paraId="5CA5736C" w14:textId="1E04E812" w:rsidR="00961B4E" w:rsidRPr="00204758" w:rsidRDefault="007318EE" w:rsidP="00812AC4">
            <w:r w:rsidRPr="00204758">
              <w:t>0.0135</w:t>
            </w:r>
          </w:p>
        </w:tc>
        <w:tc>
          <w:tcPr>
            <w:tcW w:w="919" w:type="dxa"/>
          </w:tcPr>
          <w:p w14:paraId="5249E0B5" w14:textId="1C96D50D" w:rsidR="00961B4E" w:rsidRPr="00204758" w:rsidRDefault="00CD1557" w:rsidP="00812AC4">
            <w:r w:rsidRPr="00204758">
              <w:t>0.3025</w:t>
            </w:r>
          </w:p>
        </w:tc>
      </w:tr>
      <w:tr w:rsidR="00961B4E" w:rsidRPr="00204758" w14:paraId="0B895DC3" w14:textId="77777777" w:rsidTr="008A7790">
        <w:tc>
          <w:tcPr>
            <w:tcW w:w="1231" w:type="dxa"/>
          </w:tcPr>
          <w:p w14:paraId="7D7547A5" w14:textId="719E7142" w:rsidR="00961B4E" w:rsidRPr="00204758" w:rsidRDefault="00961B4E" w:rsidP="00812AC4">
            <w:r w:rsidRPr="00204758">
              <w:t>logSTI</w:t>
            </w:r>
          </w:p>
        </w:tc>
        <w:tc>
          <w:tcPr>
            <w:tcW w:w="1166" w:type="dxa"/>
          </w:tcPr>
          <w:p w14:paraId="174A87EC" w14:textId="3CF6FC7B" w:rsidR="00961B4E" w:rsidRPr="00204758" w:rsidRDefault="000E0F7D" w:rsidP="00812AC4">
            <w:r w:rsidRPr="00204758">
              <w:t>0.1069</w:t>
            </w:r>
          </w:p>
        </w:tc>
        <w:tc>
          <w:tcPr>
            <w:tcW w:w="916" w:type="dxa"/>
          </w:tcPr>
          <w:p w14:paraId="214D2069" w14:textId="74BAE9A7" w:rsidR="00961B4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26E10E0C" w14:textId="0D2EE103" w:rsidR="00961B4E" w:rsidRPr="00204758" w:rsidRDefault="001377EC" w:rsidP="00812AC4">
            <w:r w:rsidRPr="00204758">
              <w:t>0.0676</w:t>
            </w:r>
          </w:p>
        </w:tc>
        <w:tc>
          <w:tcPr>
            <w:tcW w:w="916" w:type="dxa"/>
          </w:tcPr>
          <w:p w14:paraId="22E4BB27" w14:textId="325C8EFF" w:rsidR="00961B4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3BEC8403" w14:textId="191CC394" w:rsidR="00961B4E" w:rsidRPr="00204758" w:rsidRDefault="00E51473" w:rsidP="00812AC4">
            <w:r w:rsidRPr="00204758">
              <w:t>-0.0294</w:t>
            </w:r>
          </w:p>
        </w:tc>
        <w:tc>
          <w:tcPr>
            <w:tcW w:w="919" w:type="dxa"/>
          </w:tcPr>
          <w:p w14:paraId="7B912D72" w14:textId="6D2C5833" w:rsidR="00961B4E" w:rsidRPr="00204758" w:rsidRDefault="00990B0C" w:rsidP="00812AC4">
            <w:r w:rsidRPr="00204758">
              <w:t>0.0296</w:t>
            </w:r>
          </w:p>
        </w:tc>
      </w:tr>
      <w:tr w:rsidR="00961B4E" w:rsidRPr="00204758" w14:paraId="41DC306D" w14:textId="77777777" w:rsidTr="008A7790">
        <w:tc>
          <w:tcPr>
            <w:tcW w:w="1231" w:type="dxa"/>
          </w:tcPr>
          <w:p w14:paraId="567C7104" w14:textId="297C4757" w:rsidR="00961B4E" w:rsidRPr="00204758" w:rsidRDefault="00961B4E" w:rsidP="00812AC4">
            <w:r w:rsidRPr="00204758">
              <w:t>logSTT</w:t>
            </w:r>
          </w:p>
        </w:tc>
        <w:tc>
          <w:tcPr>
            <w:tcW w:w="1166" w:type="dxa"/>
          </w:tcPr>
          <w:p w14:paraId="7F088CA7" w14:textId="61FD100B" w:rsidR="00961B4E" w:rsidRPr="00204758" w:rsidRDefault="000E0F7D" w:rsidP="00812AC4">
            <w:r w:rsidRPr="00204758">
              <w:t>0.0666</w:t>
            </w:r>
          </w:p>
        </w:tc>
        <w:tc>
          <w:tcPr>
            <w:tcW w:w="916" w:type="dxa"/>
          </w:tcPr>
          <w:p w14:paraId="0608D995" w14:textId="41A2A294" w:rsidR="00961B4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1C8FE6CC" w14:textId="748F774C" w:rsidR="00961B4E" w:rsidRPr="00204758" w:rsidRDefault="001377EC" w:rsidP="00812AC4">
            <w:r w:rsidRPr="00204758">
              <w:t>0.0709</w:t>
            </w:r>
          </w:p>
        </w:tc>
        <w:tc>
          <w:tcPr>
            <w:tcW w:w="916" w:type="dxa"/>
          </w:tcPr>
          <w:p w14:paraId="5795E664" w14:textId="23E6ABB9" w:rsidR="00961B4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2CB472B4" w14:textId="0607951D" w:rsidR="00961B4E" w:rsidRPr="00204758" w:rsidRDefault="00E51473" w:rsidP="00812AC4">
            <w:r w:rsidRPr="00204758">
              <w:t>0.0520</w:t>
            </w:r>
          </w:p>
        </w:tc>
        <w:tc>
          <w:tcPr>
            <w:tcW w:w="919" w:type="dxa"/>
          </w:tcPr>
          <w:p w14:paraId="21A13E35" w14:textId="0FA616C6" w:rsidR="00961B4E" w:rsidRPr="00204758" w:rsidRDefault="006C798B" w:rsidP="00812AC4">
            <w:r w:rsidRPr="00204758">
              <w:t>&lt;.0001</w:t>
            </w:r>
          </w:p>
        </w:tc>
      </w:tr>
      <w:tr w:rsidR="00961B4E" w:rsidRPr="00204758" w14:paraId="61CF43B3" w14:textId="77777777" w:rsidTr="008A7790">
        <w:tc>
          <w:tcPr>
            <w:tcW w:w="1231" w:type="dxa"/>
          </w:tcPr>
          <w:p w14:paraId="5926A4AA" w14:textId="72B27E28" w:rsidR="00961B4E" w:rsidRPr="00204758" w:rsidRDefault="00961B4E" w:rsidP="00812AC4">
            <w:r w:rsidRPr="00204758">
              <w:t>logWFC</w:t>
            </w:r>
          </w:p>
        </w:tc>
        <w:tc>
          <w:tcPr>
            <w:tcW w:w="1166" w:type="dxa"/>
          </w:tcPr>
          <w:p w14:paraId="3A87EE1E" w14:textId="0493A214" w:rsidR="00961B4E" w:rsidRPr="00204758" w:rsidRDefault="000E0F7D" w:rsidP="00812AC4">
            <w:r w:rsidRPr="00204758">
              <w:t>-0.1786</w:t>
            </w:r>
          </w:p>
        </w:tc>
        <w:tc>
          <w:tcPr>
            <w:tcW w:w="916" w:type="dxa"/>
          </w:tcPr>
          <w:p w14:paraId="0BC6BF02" w14:textId="1743EBCC" w:rsidR="00961B4E" w:rsidRPr="00204758" w:rsidRDefault="00DD127A" w:rsidP="00812AC4">
            <w:r w:rsidRPr="00204758">
              <w:t>&lt;.0001</w:t>
            </w:r>
          </w:p>
        </w:tc>
        <w:tc>
          <w:tcPr>
            <w:tcW w:w="1166" w:type="dxa"/>
          </w:tcPr>
          <w:p w14:paraId="629A557D" w14:textId="260F40E9" w:rsidR="00961B4E" w:rsidRPr="00204758" w:rsidRDefault="00984C3C" w:rsidP="00812AC4">
            <w:r>
              <w:t>-</w:t>
            </w:r>
            <w:r w:rsidR="001377EC" w:rsidRPr="00204758">
              <w:t>0.1922</w:t>
            </w:r>
          </w:p>
        </w:tc>
        <w:tc>
          <w:tcPr>
            <w:tcW w:w="916" w:type="dxa"/>
          </w:tcPr>
          <w:p w14:paraId="55CE8B3A" w14:textId="63569EF0" w:rsidR="00961B4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</w:tcPr>
          <w:p w14:paraId="6FC022B5" w14:textId="7124A65D" w:rsidR="00961B4E" w:rsidRPr="00204758" w:rsidRDefault="00984C3C" w:rsidP="00812AC4">
            <w:r>
              <w:t>-</w:t>
            </w:r>
            <w:r w:rsidR="00E51473" w:rsidRPr="00204758">
              <w:t>0.1193</w:t>
            </w:r>
          </w:p>
        </w:tc>
        <w:tc>
          <w:tcPr>
            <w:tcW w:w="919" w:type="dxa"/>
          </w:tcPr>
          <w:p w14:paraId="39007683" w14:textId="71C46B1D" w:rsidR="00961B4E" w:rsidRPr="00204758" w:rsidRDefault="006C798B" w:rsidP="00812AC4">
            <w:r w:rsidRPr="00204758">
              <w:t>&lt;.0001</w:t>
            </w:r>
          </w:p>
        </w:tc>
      </w:tr>
      <w:tr w:rsidR="00623F18" w:rsidRPr="00204758" w14:paraId="3467F514" w14:textId="77777777" w:rsidTr="008A7790">
        <w:tc>
          <w:tcPr>
            <w:tcW w:w="1231" w:type="dxa"/>
            <w:tcBorders>
              <w:bottom w:val="double" w:sz="4" w:space="0" w:color="auto"/>
            </w:tcBorders>
          </w:tcPr>
          <w:p w14:paraId="6D5D0C5B" w14:textId="156B139E" w:rsidR="00961B4E" w:rsidRPr="00204758" w:rsidRDefault="00961B4E" w:rsidP="00812AC4">
            <w:r w:rsidRPr="00204758">
              <w:t>logZION</w:t>
            </w:r>
          </w:p>
        </w:tc>
        <w:tc>
          <w:tcPr>
            <w:tcW w:w="1166" w:type="dxa"/>
            <w:tcBorders>
              <w:bottom w:val="double" w:sz="4" w:space="0" w:color="auto"/>
            </w:tcBorders>
          </w:tcPr>
          <w:p w14:paraId="25AFE4D0" w14:textId="6C294604" w:rsidR="00961B4E" w:rsidRPr="00204758" w:rsidRDefault="000E0F7D" w:rsidP="00812AC4">
            <w:r w:rsidRPr="00204758">
              <w:t>0.0394</w:t>
            </w:r>
          </w:p>
        </w:tc>
        <w:tc>
          <w:tcPr>
            <w:tcW w:w="916" w:type="dxa"/>
            <w:tcBorders>
              <w:bottom w:val="double" w:sz="4" w:space="0" w:color="auto"/>
            </w:tcBorders>
          </w:tcPr>
          <w:p w14:paraId="67E9CCD0" w14:textId="22B44EF9" w:rsidR="00961B4E" w:rsidRPr="00204758" w:rsidRDefault="006C798B" w:rsidP="00812AC4">
            <w:r w:rsidRPr="00204758">
              <w:t>0.0010</w:t>
            </w:r>
          </w:p>
        </w:tc>
        <w:tc>
          <w:tcPr>
            <w:tcW w:w="1166" w:type="dxa"/>
            <w:tcBorders>
              <w:bottom w:val="double" w:sz="4" w:space="0" w:color="auto"/>
            </w:tcBorders>
          </w:tcPr>
          <w:p w14:paraId="0F632BD2" w14:textId="1E08F891" w:rsidR="00961B4E" w:rsidRPr="00204758" w:rsidRDefault="001377EC" w:rsidP="00812AC4">
            <w:r w:rsidRPr="00204758">
              <w:t>0.0502</w:t>
            </w:r>
          </w:p>
        </w:tc>
        <w:tc>
          <w:tcPr>
            <w:tcW w:w="916" w:type="dxa"/>
            <w:tcBorders>
              <w:bottom w:val="double" w:sz="4" w:space="0" w:color="auto"/>
            </w:tcBorders>
          </w:tcPr>
          <w:p w14:paraId="6A94CC1C" w14:textId="0D1C4903" w:rsidR="00961B4E" w:rsidRPr="00204758" w:rsidRDefault="006C798B" w:rsidP="00812AC4">
            <w:r w:rsidRPr="00204758">
              <w:t>&lt;.0001</w:t>
            </w:r>
          </w:p>
        </w:tc>
        <w:tc>
          <w:tcPr>
            <w:tcW w:w="1166" w:type="dxa"/>
            <w:tcBorders>
              <w:bottom w:val="double" w:sz="4" w:space="0" w:color="auto"/>
            </w:tcBorders>
          </w:tcPr>
          <w:p w14:paraId="6967508B" w14:textId="049C5AC1" w:rsidR="00961B4E" w:rsidRPr="00204758" w:rsidRDefault="00E51473" w:rsidP="00812AC4">
            <w:r w:rsidRPr="00204758">
              <w:t>-0.006994</w:t>
            </w:r>
          </w:p>
        </w:tc>
        <w:tc>
          <w:tcPr>
            <w:tcW w:w="919" w:type="dxa"/>
            <w:tcBorders>
              <w:bottom w:val="double" w:sz="4" w:space="0" w:color="auto"/>
            </w:tcBorders>
          </w:tcPr>
          <w:p w14:paraId="3B89E6CC" w14:textId="3C73CF23" w:rsidR="00961B4E" w:rsidRPr="00204758" w:rsidRDefault="00990B0C" w:rsidP="00812AC4">
            <w:r w:rsidRPr="00204758">
              <w:t>0.5319</w:t>
            </w:r>
          </w:p>
        </w:tc>
      </w:tr>
    </w:tbl>
    <w:p w14:paraId="1F4F5AE2" w14:textId="77777777" w:rsidR="00FA511A" w:rsidRDefault="00FA511A" w:rsidP="00812AC4">
      <w:pPr>
        <w:ind w:firstLine="202"/>
        <w:rPr>
          <w:sz w:val="22"/>
        </w:rPr>
      </w:pPr>
    </w:p>
    <w:p w14:paraId="15AEF20F" w14:textId="030B34A7" w:rsidR="00E97B99" w:rsidRDefault="002C4B01" w:rsidP="000536FA">
      <w:pPr>
        <w:pStyle w:val="Heading1"/>
        <w:jc w:val="left"/>
        <w:rPr>
          <w:b/>
          <w:sz w:val="22"/>
          <w:szCs w:val="22"/>
        </w:rPr>
      </w:pPr>
      <w:r w:rsidRPr="000536FA">
        <w:rPr>
          <w:b/>
          <w:sz w:val="22"/>
          <w:szCs w:val="22"/>
        </w:rPr>
        <w:lastRenderedPageBreak/>
        <w:t>Interpretation and Conclusion</w:t>
      </w:r>
    </w:p>
    <w:p w14:paraId="5F611743" w14:textId="71DCE2B2" w:rsidR="00940F29" w:rsidRDefault="00F47A0B" w:rsidP="00361E93">
      <w:pPr>
        <w:ind w:firstLine="202"/>
        <w:rPr>
          <w:sz w:val="22"/>
        </w:rPr>
      </w:pPr>
      <w:r w:rsidRPr="00AD6A3B">
        <w:rPr>
          <w:sz w:val="22"/>
        </w:rPr>
        <w:t xml:space="preserve">Based on </w:t>
      </w:r>
      <w:r w:rsidR="00AD6A3B">
        <w:rPr>
          <w:sz w:val="22"/>
        </w:rPr>
        <w:t xml:space="preserve">the statistical output of the models, it appears there is sufficient evidence to suggest </w:t>
      </w:r>
      <w:r w:rsidR="00551287">
        <w:rPr>
          <w:sz w:val="22"/>
        </w:rPr>
        <w:t xml:space="preserve">at least one of the banks’ mean </w:t>
      </w:r>
      <w:r w:rsidR="00065850">
        <w:rPr>
          <w:sz w:val="22"/>
        </w:rPr>
        <w:t>is different than the others (F statistic</w:t>
      </w:r>
      <w:r w:rsidR="00FC5D7B">
        <w:rPr>
          <w:sz w:val="22"/>
        </w:rPr>
        <w:t xml:space="preserve"> = 4644.39, p-value &lt; 0.0001) </w:t>
      </w:r>
      <w:r w:rsidR="00065850">
        <w:rPr>
          <w:sz w:val="22"/>
        </w:rPr>
        <w:t xml:space="preserve">and </w:t>
      </w:r>
      <w:r w:rsidR="00D20E23">
        <w:rPr>
          <w:sz w:val="22"/>
        </w:rPr>
        <w:t xml:space="preserve">most of the banks had a statistically significant </w:t>
      </w:r>
      <w:r w:rsidR="00D64D40">
        <w:rPr>
          <w:sz w:val="22"/>
        </w:rPr>
        <w:t>effect on the models</w:t>
      </w:r>
      <w:r w:rsidR="00021B0D">
        <w:rPr>
          <w:sz w:val="22"/>
        </w:rPr>
        <w:t xml:space="preserve"> (p-values &lt; 0.05)</w:t>
      </w:r>
      <w:r w:rsidR="00D64D40">
        <w:rPr>
          <w:sz w:val="22"/>
        </w:rPr>
        <w:t xml:space="preserve">. In the Dow Jones model, </w:t>
      </w:r>
      <w:r w:rsidR="000D3F06">
        <w:rPr>
          <w:sz w:val="22"/>
        </w:rPr>
        <w:t>the evidence suggest</w:t>
      </w:r>
      <w:r w:rsidR="002601B2">
        <w:rPr>
          <w:sz w:val="22"/>
        </w:rPr>
        <w:t xml:space="preserve"> all banks with the exception of KEY and MTB were statistically significant</w:t>
      </w:r>
      <w:r w:rsidR="008D565C">
        <w:rPr>
          <w:sz w:val="22"/>
        </w:rPr>
        <w:t xml:space="preserve"> at the </w:t>
      </w:r>
      <w:r w:rsidR="005D6D2A">
        <w:rPr>
          <w:sz w:val="22"/>
        </w:rPr>
        <w:t>95% confidence level</w:t>
      </w:r>
      <w:r w:rsidR="002601B2">
        <w:rPr>
          <w:sz w:val="22"/>
        </w:rPr>
        <w:t xml:space="preserve">. The S&amp;P 500 model </w:t>
      </w:r>
      <w:r w:rsidR="006E792A">
        <w:rPr>
          <w:sz w:val="22"/>
        </w:rPr>
        <w:t xml:space="preserve">finds that </w:t>
      </w:r>
      <w:r w:rsidR="008D565C">
        <w:rPr>
          <w:sz w:val="22"/>
        </w:rPr>
        <w:t>JPM and MTB were not statistically significant in the model at the 95% confidence level.</w:t>
      </w:r>
      <w:r w:rsidR="005D6D2A">
        <w:rPr>
          <w:sz w:val="22"/>
        </w:rPr>
        <w:t xml:space="preserve"> In the Nasdaq model, </w:t>
      </w:r>
      <w:r w:rsidR="00337AA1">
        <w:rPr>
          <w:sz w:val="22"/>
        </w:rPr>
        <w:t>BAC, BBT, CMA, HBAN, KEY, MTB, PNC, STI, and ZION were not statistically significant at the 95% confidence level.</w:t>
      </w:r>
    </w:p>
    <w:p w14:paraId="1324D15E" w14:textId="77777777" w:rsidR="00940F29" w:rsidRDefault="00940F29" w:rsidP="00361E93">
      <w:pPr>
        <w:ind w:firstLine="202"/>
        <w:rPr>
          <w:sz w:val="22"/>
        </w:rPr>
      </w:pPr>
    </w:p>
    <w:p w14:paraId="5FEF8B7C" w14:textId="6EC81E15" w:rsidR="000D4CD0" w:rsidRDefault="00676DD6" w:rsidP="00361E93">
      <w:pPr>
        <w:ind w:firstLine="202"/>
        <w:rPr>
          <w:sz w:val="22"/>
        </w:rPr>
      </w:pPr>
      <w:r>
        <w:rPr>
          <w:sz w:val="22"/>
        </w:rPr>
        <w:t>Out of the banks that were sta</w:t>
      </w:r>
      <w:r w:rsidR="007873B1">
        <w:rPr>
          <w:sz w:val="22"/>
        </w:rPr>
        <w:t xml:space="preserve">tistically significant in the Dow Jones model, </w:t>
      </w:r>
      <w:r w:rsidR="00937F30">
        <w:rPr>
          <w:sz w:val="22"/>
        </w:rPr>
        <w:t xml:space="preserve">STI had the highest coefficient </w:t>
      </w:r>
      <w:r w:rsidR="00EA364E">
        <w:rPr>
          <w:sz w:val="22"/>
        </w:rPr>
        <w:t xml:space="preserve">(0.1069) </w:t>
      </w:r>
      <w:r w:rsidR="00937F30">
        <w:rPr>
          <w:sz w:val="22"/>
        </w:rPr>
        <w:t>in the model</w:t>
      </w:r>
      <w:r w:rsidR="00940F29">
        <w:rPr>
          <w:sz w:val="22"/>
        </w:rPr>
        <w:t>, which means that for every 1</w:t>
      </w:r>
      <w:r w:rsidR="00297E8B">
        <w:rPr>
          <w:sz w:val="22"/>
        </w:rPr>
        <w:t>0</w:t>
      </w:r>
      <w:r w:rsidR="00940F29">
        <w:rPr>
          <w:sz w:val="22"/>
        </w:rPr>
        <w:t xml:space="preserve">% change in the mean of the Dow Jones, </w:t>
      </w:r>
      <w:r w:rsidR="0078025D">
        <w:rPr>
          <w:sz w:val="22"/>
        </w:rPr>
        <w:t xml:space="preserve">STI incurred a </w:t>
      </w:r>
      <w:r w:rsidR="003D5F1B">
        <w:rPr>
          <w:sz w:val="22"/>
        </w:rPr>
        <w:t>28</w:t>
      </w:r>
      <w:r w:rsidR="0078025D">
        <w:rPr>
          <w:sz w:val="22"/>
        </w:rPr>
        <w:t>%</w:t>
      </w:r>
      <w:r w:rsidR="0047724C">
        <w:rPr>
          <w:sz w:val="22"/>
        </w:rPr>
        <w:t xml:space="preserve"> </w:t>
      </w:r>
      <w:r w:rsidR="007A7B9C">
        <w:rPr>
          <w:sz w:val="22"/>
        </w:rPr>
        <w:t>change in the mean</w:t>
      </w:r>
      <w:r w:rsidR="00937F30">
        <w:rPr>
          <w:sz w:val="22"/>
        </w:rPr>
        <w:t xml:space="preserve">. For the S&amp;P 500 model, </w:t>
      </w:r>
      <w:r w:rsidR="00040A42">
        <w:rPr>
          <w:sz w:val="22"/>
        </w:rPr>
        <w:t>Goldman Sachs</w:t>
      </w:r>
      <w:r w:rsidR="00177C6D">
        <w:rPr>
          <w:sz w:val="22"/>
        </w:rPr>
        <w:t xml:space="preserve"> has the highest coefficient (</w:t>
      </w:r>
      <w:r w:rsidR="00E9119A">
        <w:rPr>
          <w:sz w:val="22"/>
        </w:rPr>
        <w:t>0.</w:t>
      </w:r>
      <w:r w:rsidR="00884D0A">
        <w:rPr>
          <w:sz w:val="22"/>
        </w:rPr>
        <w:t>1292</w:t>
      </w:r>
      <w:r w:rsidR="00A44AB5">
        <w:rPr>
          <w:sz w:val="22"/>
        </w:rPr>
        <w:t>)</w:t>
      </w:r>
      <w:r w:rsidR="007A7B9C">
        <w:rPr>
          <w:sz w:val="22"/>
        </w:rPr>
        <w:t xml:space="preserve">, which results in a </w:t>
      </w:r>
      <w:r w:rsidR="00297E8B">
        <w:rPr>
          <w:sz w:val="22"/>
        </w:rPr>
        <w:t>35</w:t>
      </w:r>
      <w:r w:rsidR="007A7B9C">
        <w:rPr>
          <w:sz w:val="22"/>
        </w:rPr>
        <w:t>% change in the mean</w:t>
      </w:r>
      <w:r w:rsidR="00392C9A">
        <w:rPr>
          <w:sz w:val="22"/>
        </w:rPr>
        <w:t xml:space="preserve"> for every 10% change in the mean of S&amp;P 500</w:t>
      </w:r>
      <w:r w:rsidR="0081365B">
        <w:rPr>
          <w:sz w:val="22"/>
        </w:rPr>
        <w:t>. As for the Nasdaq model, G</w:t>
      </w:r>
      <w:r w:rsidR="00157216">
        <w:rPr>
          <w:sz w:val="22"/>
        </w:rPr>
        <w:t xml:space="preserve">S </w:t>
      </w:r>
      <w:r w:rsidR="00240340">
        <w:rPr>
          <w:sz w:val="22"/>
        </w:rPr>
        <w:t xml:space="preserve">once again </w:t>
      </w:r>
      <w:r w:rsidR="00157216">
        <w:rPr>
          <w:sz w:val="22"/>
        </w:rPr>
        <w:t>produced the highest coefficient (</w:t>
      </w:r>
      <w:r w:rsidR="00546B11">
        <w:rPr>
          <w:sz w:val="22"/>
        </w:rPr>
        <w:t>0.1641)</w:t>
      </w:r>
      <w:r w:rsidR="009C36DD">
        <w:rPr>
          <w:sz w:val="22"/>
        </w:rPr>
        <w:t xml:space="preserve">, which equates to a </w:t>
      </w:r>
      <w:r w:rsidR="00392C9A">
        <w:rPr>
          <w:sz w:val="22"/>
        </w:rPr>
        <w:t>46</w:t>
      </w:r>
      <w:r w:rsidR="009C36DD">
        <w:rPr>
          <w:sz w:val="22"/>
        </w:rPr>
        <w:t>% change in the mean</w:t>
      </w:r>
      <w:r w:rsidR="005A5E95">
        <w:rPr>
          <w:sz w:val="22"/>
        </w:rPr>
        <w:t xml:space="preserve"> for every 1</w:t>
      </w:r>
      <w:r w:rsidR="00392C9A">
        <w:rPr>
          <w:sz w:val="22"/>
        </w:rPr>
        <w:t>0</w:t>
      </w:r>
      <w:r w:rsidR="005A5E95">
        <w:rPr>
          <w:sz w:val="22"/>
        </w:rPr>
        <w:t>% change in the Nasdaq</w:t>
      </w:r>
      <w:r w:rsidR="00546B11">
        <w:rPr>
          <w:sz w:val="22"/>
        </w:rPr>
        <w:t>.</w:t>
      </w:r>
    </w:p>
    <w:p w14:paraId="79DF103C" w14:textId="7D7EB485" w:rsidR="00333C92" w:rsidRDefault="00333C92" w:rsidP="00361E93">
      <w:pPr>
        <w:ind w:firstLine="202"/>
        <w:rPr>
          <w:sz w:val="22"/>
        </w:rPr>
      </w:pPr>
    </w:p>
    <w:p w14:paraId="00E053B9" w14:textId="0F7C66AE" w:rsidR="00333C92" w:rsidRPr="00AD6A3B" w:rsidRDefault="00CF4A77" w:rsidP="00361E93">
      <w:pPr>
        <w:ind w:firstLine="202"/>
        <w:rPr>
          <w:sz w:val="22"/>
        </w:rPr>
      </w:pPr>
      <w:r>
        <w:rPr>
          <w:sz w:val="22"/>
        </w:rPr>
        <w:t xml:space="preserve">While the evidence suggests </w:t>
      </w:r>
      <w:r w:rsidR="00966E8C">
        <w:rPr>
          <w:sz w:val="22"/>
        </w:rPr>
        <w:t xml:space="preserve">STI and GS all had the strongest effect on their respective models, the study is based on an observational analysis which means </w:t>
      </w:r>
      <w:r w:rsidR="006918E0">
        <w:rPr>
          <w:sz w:val="22"/>
        </w:rPr>
        <w:t xml:space="preserve">we are unable to establish causal </w:t>
      </w:r>
      <w:r w:rsidR="0071408E">
        <w:rPr>
          <w:sz w:val="22"/>
        </w:rPr>
        <w:t xml:space="preserve">inferences may not be applied outside of the </w:t>
      </w:r>
      <w:r w:rsidR="00F221C4">
        <w:rPr>
          <w:sz w:val="22"/>
        </w:rPr>
        <w:t>study</w:t>
      </w:r>
      <w:r w:rsidR="0071408E">
        <w:rPr>
          <w:sz w:val="22"/>
        </w:rPr>
        <w:t>.</w:t>
      </w:r>
      <w:r w:rsidR="005040A3">
        <w:rPr>
          <w:sz w:val="22"/>
        </w:rPr>
        <w:t xml:space="preserve"> Furthermore, the companies selected for the study were not randomly selected which means the results may </w:t>
      </w:r>
      <w:r w:rsidR="002479F1">
        <w:rPr>
          <w:sz w:val="22"/>
        </w:rPr>
        <w:t>not be applied to other companies and/or sectors outside of the study.</w:t>
      </w:r>
      <w:r w:rsidR="0071408E">
        <w:rPr>
          <w:sz w:val="22"/>
        </w:rPr>
        <w:t xml:space="preserve"> In other words, it is not safe to assume the banks are still leading the market </w:t>
      </w:r>
      <w:r w:rsidR="009903BA">
        <w:rPr>
          <w:sz w:val="22"/>
        </w:rPr>
        <w:t xml:space="preserve">with the same coefficients. </w:t>
      </w:r>
      <w:r w:rsidR="00A0473E">
        <w:rPr>
          <w:sz w:val="22"/>
        </w:rPr>
        <w:t xml:space="preserve">The results also may not be applied to institutions outside of this study, which means that </w:t>
      </w:r>
      <w:r w:rsidR="00C422AC">
        <w:rPr>
          <w:sz w:val="22"/>
        </w:rPr>
        <w:t>financial institutions outside of this scope may not be implicated in the study regardless of their involvement or lack thereof in the 2008 financial crisis.</w:t>
      </w:r>
    </w:p>
    <w:p w14:paraId="6EAFB6E8" w14:textId="1C992A68" w:rsidR="00E97402" w:rsidRDefault="00E97402" w:rsidP="000536FA">
      <w:pPr>
        <w:pStyle w:val="Heading1"/>
        <w:numPr>
          <w:ilvl w:val="0"/>
          <w:numId w:val="0"/>
        </w:numPr>
        <w:jc w:val="left"/>
        <w:rPr>
          <w:b/>
          <w:sz w:val="22"/>
          <w:szCs w:val="22"/>
        </w:rPr>
      </w:pPr>
      <w:r w:rsidRPr="000536FA">
        <w:rPr>
          <w:b/>
          <w:sz w:val="22"/>
          <w:szCs w:val="22"/>
        </w:rPr>
        <w:t>Conclusion</w:t>
      </w:r>
    </w:p>
    <w:p w14:paraId="49E7FCBF" w14:textId="347FDE26" w:rsidR="00E370A1" w:rsidRDefault="00CD0FE9" w:rsidP="00361E93">
      <w:pPr>
        <w:ind w:firstLine="202"/>
        <w:rPr>
          <w:sz w:val="22"/>
        </w:rPr>
      </w:pPr>
      <w:r w:rsidRPr="00361E93">
        <w:rPr>
          <w:sz w:val="24"/>
        </w:rPr>
        <w:t xml:space="preserve">Based on the </w:t>
      </w:r>
      <w:r w:rsidRPr="00361E93">
        <w:rPr>
          <w:sz w:val="22"/>
        </w:rPr>
        <w:t xml:space="preserve">results, the evidence suggests that SunTrust Bank and Goldman &amp; Sachs </w:t>
      </w:r>
      <w:r w:rsidR="00227F80">
        <w:rPr>
          <w:sz w:val="22"/>
        </w:rPr>
        <w:t>possessed</w:t>
      </w:r>
      <w:r w:rsidR="00841152" w:rsidRPr="00361E93">
        <w:rPr>
          <w:sz w:val="22"/>
        </w:rPr>
        <w:t xml:space="preserve"> the highest coefficient with respect to their models. This coincides with </w:t>
      </w:r>
      <w:r w:rsidR="00791D20" w:rsidRPr="00361E93">
        <w:rPr>
          <w:sz w:val="22"/>
        </w:rPr>
        <w:t>reports from the investigations into the 2008 financial crisis</w:t>
      </w:r>
      <w:r w:rsidR="00237FE7" w:rsidRPr="00361E93">
        <w:rPr>
          <w:sz w:val="22"/>
        </w:rPr>
        <w:t xml:space="preserve">, which all confirm that </w:t>
      </w:r>
      <w:r w:rsidR="00227F80">
        <w:rPr>
          <w:sz w:val="22"/>
        </w:rPr>
        <w:t xml:space="preserve">Goldman Sachs and SunTrust both were involved in deceptive trade practices, which not only led to generous profits </w:t>
      </w:r>
      <w:r w:rsidR="00CE562F">
        <w:rPr>
          <w:sz w:val="22"/>
        </w:rPr>
        <w:t>prior to the crash but also to severe losses</w:t>
      </w:r>
      <w:r w:rsidR="00ED21A5">
        <w:rPr>
          <w:sz w:val="22"/>
        </w:rPr>
        <w:t>.</w:t>
      </w:r>
      <w:r w:rsidR="00CE562F">
        <w:rPr>
          <w:sz w:val="22"/>
        </w:rPr>
        <w:t xml:space="preserve"> </w:t>
      </w:r>
      <w:r w:rsidR="00E0126E">
        <w:rPr>
          <w:sz w:val="22"/>
        </w:rPr>
        <w:t xml:space="preserve">Goldman Sachs admitted to not only defrauding investors into purchasing toxic debt but also attempting to profit off the </w:t>
      </w:r>
      <w:r w:rsidR="00870AEB">
        <w:rPr>
          <w:sz w:val="22"/>
        </w:rPr>
        <w:t xml:space="preserve">inevitable failure of that debt. The U.S. Government </w:t>
      </w:r>
      <w:r w:rsidR="0034667D">
        <w:rPr>
          <w:sz w:val="22"/>
        </w:rPr>
        <w:t>and Goldman Sachs reached an agreement in which Goldman Sachs would pay over $5 billion</w:t>
      </w:r>
      <w:r w:rsidR="00C345BF">
        <w:rPr>
          <w:sz w:val="22"/>
        </w:rPr>
        <w:t xml:space="preserve"> in restitution. SunTrust found itself in a similar situation when investigations into the practices of the company revealed that they were intentionally </w:t>
      </w:r>
      <w:r w:rsidR="000B45FA">
        <w:rPr>
          <w:sz w:val="22"/>
        </w:rPr>
        <w:t>s</w:t>
      </w:r>
      <w:r w:rsidR="00DE659D">
        <w:rPr>
          <w:sz w:val="22"/>
        </w:rPr>
        <w:t>elling Financial Housing Authority backed</w:t>
      </w:r>
      <w:r w:rsidR="009A0A9D">
        <w:rPr>
          <w:sz w:val="22"/>
        </w:rPr>
        <w:t xml:space="preserve">-loans even though they didn’t meet the FHA requirements. </w:t>
      </w:r>
      <w:r w:rsidR="00F50957">
        <w:rPr>
          <w:sz w:val="22"/>
        </w:rPr>
        <w:t xml:space="preserve">Once the loans would default, they would claim the loss with the US Government. The investigation found that </w:t>
      </w:r>
      <w:r w:rsidR="008556B0">
        <w:rPr>
          <w:sz w:val="22"/>
        </w:rPr>
        <w:t>more than 50% of their FHA-backed loans did not meet the requirements. As a result, SunTrust was ordered to pay just shy of $1 billion to the US Government.</w:t>
      </w:r>
    </w:p>
    <w:p w14:paraId="7297E4DE" w14:textId="77777777" w:rsidR="00E370A1" w:rsidRDefault="00E370A1" w:rsidP="00361E93">
      <w:pPr>
        <w:ind w:firstLine="202"/>
        <w:rPr>
          <w:sz w:val="22"/>
        </w:rPr>
      </w:pPr>
    </w:p>
    <w:p w14:paraId="3AFC9440" w14:textId="728775C5" w:rsidR="00CD0FE9" w:rsidRDefault="00E370A1" w:rsidP="00361E93">
      <w:pPr>
        <w:ind w:firstLine="202"/>
      </w:pPr>
      <w:r>
        <w:rPr>
          <w:sz w:val="22"/>
        </w:rPr>
        <w:t xml:space="preserve">Further study into this topic would be recommended to </w:t>
      </w:r>
      <w:r w:rsidR="00DB62DA">
        <w:rPr>
          <w:sz w:val="22"/>
        </w:rPr>
        <w:t>investigate</w:t>
      </w:r>
      <w:r>
        <w:rPr>
          <w:sz w:val="22"/>
        </w:rPr>
        <w:t xml:space="preserve"> the volume being traded as well, instead of just stock prices. </w:t>
      </w:r>
      <w:r w:rsidR="00557B14">
        <w:rPr>
          <w:sz w:val="22"/>
        </w:rPr>
        <w:t xml:space="preserve">Volume being traded would give researchers the ability to determine whether the stock is selling profusely </w:t>
      </w:r>
      <w:r w:rsidR="00823A80">
        <w:rPr>
          <w:sz w:val="22"/>
        </w:rPr>
        <w:t xml:space="preserve">as a result of a crash or whether the price increase/decrease is related to extra variables not included in the study. Also, narrowing the scope of the study may help </w:t>
      </w:r>
      <w:r w:rsidR="00477F08">
        <w:rPr>
          <w:sz w:val="22"/>
        </w:rPr>
        <w:t xml:space="preserve">refine the model much more. The given data set included the tail of the Dot Com crash which may have had a slight influence. </w:t>
      </w:r>
      <w:r w:rsidR="0058180C">
        <w:rPr>
          <w:sz w:val="22"/>
        </w:rPr>
        <w:t xml:space="preserve">Yet, because the rise and crash were included in the model, it is difficult to determine whether the coefficient is attributed to the rise of the index or the crash specifically. </w:t>
      </w:r>
      <w:r w:rsidR="00CD0FE9">
        <w:br w:type="page"/>
      </w:r>
    </w:p>
    <w:p w14:paraId="7A2D4092" w14:textId="77777777" w:rsidR="00CD0FE9" w:rsidRPr="00CD0FE9" w:rsidRDefault="00CD0FE9" w:rsidP="00CD0FE9"/>
    <w:p w14:paraId="79D4EF9B" w14:textId="77777777" w:rsidR="00E97402" w:rsidRPr="000536FA" w:rsidRDefault="00E97402" w:rsidP="001F4C5C">
      <w:pPr>
        <w:pStyle w:val="ReferenceHead"/>
        <w:jc w:val="both"/>
        <w:rPr>
          <w:b/>
          <w:sz w:val="22"/>
          <w:szCs w:val="22"/>
        </w:rPr>
      </w:pPr>
      <w:r w:rsidRPr="000536FA">
        <w:rPr>
          <w:b/>
          <w:sz w:val="22"/>
          <w:szCs w:val="22"/>
        </w:rPr>
        <w:t>Appendix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026"/>
      </w:tblGrid>
      <w:tr w:rsidR="008A7790" w:rsidRPr="000536FA" w14:paraId="139696B9" w14:textId="77777777" w:rsidTr="008A7790">
        <w:tc>
          <w:tcPr>
            <w:tcW w:w="3996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7452B2F" w14:textId="2BC9E4F2" w:rsidR="008A7790" w:rsidRPr="000536FA" w:rsidRDefault="008A7790" w:rsidP="008A7790">
            <w:pPr>
              <w:pStyle w:val="Text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1</w:t>
            </w:r>
          </w:p>
        </w:tc>
      </w:tr>
      <w:tr w:rsidR="006A4896" w:rsidRPr="000536FA" w14:paraId="695ED3AF" w14:textId="77777777" w:rsidTr="006A4896">
        <w:tc>
          <w:tcPr>
            <w:tcW w:w="3996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74190DA" w14:textId="77777777" w:rsidR="006A4896" w:rsidRPr="000536FA" w:rsidRDefault="006A4896" w:rsidP="006A4896">
            <w:pPr>
              <w:pStyle w:val="Text"/>
              <w:ind w:firstLine="0"/>
              <w:jc w:val="center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Market Indices &amp; Companies Selected</w:t>
            </w:r>
          </w:p>
        </w:tc>
      </w:tr>
      <w:tr w:rsidR="00CD3DEE" w:rsidRPr="000536FA" w14:paraId="4283C934" w14:textId="77777777" w:rsidTr="006A4896">
        <w:tc>
          <w:tcPr>
            <w:tcW w:w="2970" w:type="dxa"/>
            <w:tcBorders>
              <w:top w:val="double" w:sz="6" w:space="0" w:color="auto"/>
              <w:bottom w:val="single" w:sz="8" w:space="0" w:color="auto"/>
            </w:tcBorders>
            <w:shd w:val="clear" w:color="auto" w:fill="auto"/>
          </w:tcPr>
          <w:p w14:paraId="75EBCE44" w14:textId="77777777" w:rsidR="006A4896" w:rsidRPr="000536FA" w:rsidRDefault="006A4896" w:rsidP="006A4896">
            <w:pPr>
              <w:pStyle w:val="Text"/>
              <w:spacing w:before="100"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Index/Company</w:t>
            </w:r>
          </w:p>
        </w:tc>
        <w:tc>
          <w:tcPr>
            <w:tcW w:w="1026" w:type="dxa"/>
            <w:tcBorders>
              <w:top w:val="double" w:sz="6" w:space="0" w:color="auto"/>
              <w:bottom w:val="single" w:sz="8" w:space="0" w:color="auto"/>
            </w:tcBorders>
            <w:shd w:val="clear" w:color="auto" w:fill="auto"/>
          </w:tcPr>
          <w:p w14:paraId="725503E8" w14:textId="77777777" w:rsidR="006A4896" w:rsidRPr="000536FA" w:rsidRDefault="006A4896" w:rsidP="006A4896">
            <w:pPr>
              <w:pStyle w:val="Text"/>
              <w:spacing w:before="100"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Symbol</w:t>
            </w:r>
          </w:p>
        </w:tc>
      </w:tr>
      <w:tr w:rsidR="00CD3DEE" w:rsidRPr="000536FA" w14:paraId="26F75D71" w14:textId="77777777" w:rsidTr="006A4896">
        <w:tc>
          <w:tcPr>
            <w:tcW w:w="2970" w:type="dxa"/>
            <w:tcBorders>
              <w:top w:val="single" w:sz="8" w:space="0" w:color="auto"/>
              <w:bottom w:val="nil"/>
            </w:tcBorders>
          </w:tcPr>
          <w:p w14:paraId="54CA9559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Dow Jones Industrial Average</w:t>
            </w:r>
          </w:p>
        </w:tc>
        <w:tc>
          <w:tcPr>
            <w:tcW w:w="1026" w:type="dxa"/>
            <w:tcBorders>
              <w:top w:val="single" w:sz="8" w:space="0" w:color="auto"/>
              <w:bottom w:val="nil"/>
            </w:tcBorders>
          </w:tcPr>
          <w:p w14:paraId="7AD05FC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DJI</w:t>
            </w:r>
          </w:p>
        </w:tc>
      </w:tr>
      <w:tr w:rsidR="00CD3DEE" w:rsidRPr="000536FA" w14:paraId="0B59BE78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7AC86D2C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S&amp;P 500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761128DE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GSPC</w:t>
            </w:r>
          </w:p>
        </w:tc>
      </w:tr>
      <w:tr w:rsidR="00CD3DEE" w:rsidRPr="000536FA" w14:paraId="3BB0CED1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0CECB1C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NASDAQ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6F6CCAE6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IXIC</w:t>
            </w:r>
          </w:p>
        </w:tc>
      </w:tr>
      <w:tr w:rsidR="00CD3DEE" w:rsidRPr="000536FA" w14:paraId="4A67B8AD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08FB0C1C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Bank of America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220C3C08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BAC</w:t>
            </w:r>
          </w:p>
        </w:tc>
      </w:tr>
      <w:tr w:rsidR="00CD3DEE" w:rsidRPr="000536FA" w14:paraId="0160988D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0824A06A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BB&amp;T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002AB4A4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BBT</w:t>
            </w:r>
          </w:p>
        </w:tc>
      </w:tr>
      <w:tr w:rsidR="00CD3DEE" w:rsidRPr="000536FA" w14:paraId="5AC389A1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71C909B3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Bank of New York Mellon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4886143F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BK</w:t>
            </w:r>
          </w:p>
        </w:tc>
      </w:tr>
      <w:tr w:rsidR="00CD3DEE" w:rsidRPr="000536FA" w14:paraId="5E890771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1A83D00A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Citigroup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4DD0CE59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C</w:t>
            </w:r>
          </w:p>
        </w:tc>
      </w:tr>
      <w:tr w:rsidR="00CD3DEE" w:rsidRPr="000536FA" w14:paraId="1A020DE9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49EF7575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Comerica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0279E991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CMA</w:t>
            </w:r>
          </w:p>
        </w:tc>
      </w:tr>
      <w:tr w:rsidR="00CD3DEE" w:rsidRPr="000536FA" w14:paraId="30E79D77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5BDC59E5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Capital One Financial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2F71842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COF</w:t>
            </w:r>
          </w:p>
        </w:tc>
      </w:tr>
      <w:tr w:rsidR="00CD3DEE" w:rsidRPr="000536FA" w14:paraId="380F5286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4090BB24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Fifth Third Bancorp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0B6836E9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FITB</w:t>
            </w:r>
          </w:p>
        </w:tc>
      </w:tr>
      <w:tr w:rsidR="00CD3DEE" w:rsidRPr="000536FA" w14:paraId="31204CD6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3EDDBC44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Goldman Sachs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5B8C5185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GS</w:t>
            </w:r>
          </w:p>
        </w:tc>
      </w:tr>
      <w:tr w:rsidR="00CD3DEE" w:rsidRPr="000536FA" w14:paraId="37808575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3F306856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Hunting Bancshares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3F1F86BB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HBAN</w:t>
            </w:r>
          </w:p>
        </w:tc>
      </w:tr>
      <w:tr w:rsidR="00CD3DEE" w:rsidRPr="000536FA" w14:paraId="0E8DE9F7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588CA4F5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JP Morgan Chase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26A12179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JPM</w:t>
            </w:r>
          </w:p>
        </w:tc>
      </w:tr>
      <w:tr w:rsidR="00CD3DEE" w:rsidRPr="000536FA" w14:paraId="1C706F84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75555563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KeyCorp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65B99AB1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KEY</w:t>
            </w:r>
          </w:p>
        </w:tc>
      </w:tr>
      <w:tr w:rsidR="00CD3DEE" w:rsidRPr="000536FA" w14:paraId="1511C5CA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2072CE0E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Morgan Stanley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6F57C44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MS</w:t>
            </w:r>
          </w:p>
        </w:tc>
      </w:tr>
      <w:tr w:rsidR="00CD3DEE" w:rsidRPr="000536FA" w14:paraId="0A028A50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65DDA2BC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M&amp;T Bank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02B8E3A9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MTB</w:t>
            </w:r>
          </w:p>
        </w:tc>
      </w:tr>
      <w:tr w:rsidR="00CD3DEE" w:rsidRPr="000536FA" w14:paraId="544B06F0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1E80D038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People’s United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4EC0C4CF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PBCT</w:t>
            </w:r>
          </w:p>
        </w:tc>
      </w:tr>
      <w:tr w:rsidR="00CD3DEE" w:rsidRPr="000536FA" w14:paraId="3FFA9D1B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5D55FD2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PNC Financial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46DDA473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PNC</w:t>
            </w:r>
          </w:p>
        </w:tc>
      </w:tr>
      <w:tr w:rsidR="00CD3DEE" w:rsidRPr="000536FA" w14:paraId="7907A9D2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0C69D9AC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SunTrust Banks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53D04C30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STI</w:t>
            </w:r>
          </w:p>
        </w:tc>
      </w:tr>
      <w:tr w:rsidR="00CD3DEE" w:rsidRPr="000536FA" w14:paraId="51AA9EE1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360ADC12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State Street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59A95EE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STT</w:t>
            </w:r>
          </w:p>
        </w:tc>
      </w:tr>
      <w:tr w:rsidR="00CD3DEE" w:rsidRPr="000536FA" w14:paraId="0A20936F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199E0B36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US Bancorp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5F20D88D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USBPO</w:t>
            </w:r>
          </w:p>
        </w:tc>
      </w:tr>
      <w:tr w:rsidR="00CD3DEE" w:rsidRPr="000536FA" w14:paraId="09AB5283" w14:textId="77777777" w:rsidTr="006A4896">
        <w:tc>
          <w:tcPr>
            <w:tcW w:w="2970" w:type="dxa"/>
            <w:tcBorders>
              <w:top w:val="nil"/>
              <w:bottom w:val="nil"/>
            </w:tcBorders>
          </w:tcPr>
          <w:p w14:paraId="1EC4C69E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Wells Fargo &amp; Co.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7E046533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WFC</w:t>
            </w:r>
          </w:p>
        </w:tc>
      </w:tr>
      <w:tr w:rsidR="00CD3DEE" w:rsidRPr="000536FA" w14:paraId="40CF8789" w14:textId="77777777" w:rsidTr="006A4896">
        <w:tc>
          <w:tcPr>
            <w:tcW w:w="2970" w:type="dxa"/>
            <w:tcBorders>
              <w:top w:val="nil"/>
              <w:bottom w:val="double" w:sz="6" w:space="0" w:color="auto"/>
            </w:tcBorders>
          </w:tcPr>
          <w:p w14:paraId="0C891E2B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Zions Bancorp</w:t>
            </w:r>
          </w:p>
        </w:tc>
        <w:tc>
          <w:tcPr>
            <w:tcW w:w="1026" w:type="dxa"/>
            <w:tcBorders>
              <w:top w:val="nil"/>
              <w:bottom w:val="double" w:sz="6" w:space="0" w:color="auto"/>
            </w:tcBorders>
          </w:tcPr>
          <w:p w14:paraId="03572267" w14:textId="77777777" w:rsidR="006A4896" w:rsidRPr="000536FA" w:rsidRDefault="006A4896" w:rsidP="006A4896">
            <w:pPr>
              <w:pStyle w:val="Text"/>
              <w:spacing w:after="100"/>
              <w:ind w:firstLine="0"/>
              <w:rPr>
                <w:sz w:val="22"/>
                <w:szCs w:val="22"/>
              </w:rPr>
            </w:pPr>
            <w:r w:rsidRPr="000536FA">
              <w:rPr>
                <w:sz w:val="22"/>
                <w:szCs w:val="22"/>
              </w:rPr>
              <w:t>ZION</w:t>
            </w:r>
          </w:p>
        </w:tc>
      </w:tr>
    </w:tbl>
    <w:p w14:paraId="0D50A6B2" w14:textId="36C0D675" w:rsidR="00F70911" w:rsidRDefault="00F70911" w:rsidP="00F70911">
      <w:pPr>
        <w:pStyle w:val="Text"/>
        <w:ind w:firstLine="0"/>
        <w:rPr>
          <w:sz w:val="22"/>
          <w:szCs w:val="22"/>
        </w:rPr>
      </w:pPr>
    </w:p>
    <w:p w14:paraId="1EF019D4" w14:textId="6F069D64" w:rsidR="00F70911" w:rsidRDefault="00F70911" w:rsidP="00F70911">
      <w:pPr>
        <w:pStyle w:val="Text"/>
        <w:ind w:firstLine="0"/>
        <w:rPr>
          <w:sz w:val="22"/>
          <w:szCs w:val="22"/>
        </w:rPr>
      </w:pPr>
      <w:r>
        <w:rPr>
          <w:sz w:val="22"/>
          <w:szCs w:val="22"/>
        </w:rPr>
        <w:t>Code</w:t>
      </w:r>
    </w:p>
    <w:p w14:paraId="44B2188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Index; </w:t>
      </w:r>
      <w:r>
        <w:rPr>
          <w:rFonts w:ascii="Courier New" w:hAnsi="Courier New" w:cs="Courier New"/>
          <w:color w:val="008000"/>
          <w:shd w:val="clear" w:color="auto" w:fill="FFFFFF"/>
        </w:rPr>
        <w:t>*plot raw data of indices;</w:t>
      </w:r>
    </w:p>
    <w:p w14:paraId="7F6338B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'Market Indices Historical Value (2002 - 2009)'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84EB7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DJI;</w:t>
      </w:r>
    </w:p>
    <w:p w14:paraId="3249828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GSPC;</w:t>
      </w:r>
    </w:p>
    <w:p w14:paraId="49224B0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IXIC;</w:t>
      </w:r>
    </w:p>
    <w:p w14:paraId="43A4B29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'Date'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64386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'Value'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D4905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B18FE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EE9686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Index; </w:t>
      </w:r>
      <w:r>
        <w:rPr>
          <w:rFonts w:ascii="Courier New" w:hAnsi="Courier New" w:cs="Courier New"/>
          <w:color w:val="008000"/>
          <w:shd w:val="clear" w:color="auto" w:fill="FFFFFF"/>
        </w:rPr>
        <w:t>*plot raw data of bank stocks;</w:t>
      </w:r>
    </w:p>
    <w:p w14:paraId="4B57241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'Historical Stock Price of Finance Sector in S&amp;P500 (2002 - 2009)'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0F622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BAC;</w:t>
      </w:r>
    </w:p>
    <w:p w14:paraId="0E36A64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BBT;</w:t>
      </w:r>
    </w:p>
    <w:p w14:paraId="6194C4C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BK;</w:t>
      </w:r>
    </w:p>
    <w:p w14:paraId="234E1D3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C;</w:t>
      </w:r>
    </w:p>
    <w:p w14:paraId="06C300A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CMA;</w:t>
      </w:r>
    </w:p>
    <w:p w14:paraId="01FBBE7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COF;</w:t>
      </w:r>
    </w:p>
    <w:p w14:paraId="31C6818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FITB;</w:t>
      </w:r>
    </w:p>
    <w:p w14:paraId="27639E3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GS;</w:t>
      </w:r>
    </w:p>
    <w:p w14:paraId="33B8843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HBAN;</w:t>
      </w:r>
    </w:p>
    <w:p w14:paraId="48B5C1B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JPM;</w:t>
      </w:r>
    </w:p>
    <w:p w14:paraId="7FD68EF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KEY;</w:t>
      </w:r>
    </w:p>
    <w:p w14:paraId="65372D4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MS;</w:t>
      </w:r>
    </w:p>
    <w:p w14:paraId="10D1331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MTB;</w:t>
      </w:r>
    </w:p>
    <w:p w14:paraId="44A1F6E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PBCT;</w:t>
      </w:r>
    </w:p>
    <w:p w14:paraId="148B192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PNC;</w:t>
      </w:r>
    </w:p>
    <w:p w14:paraId="375096F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STI;</w:t>
      </w:r>
    </w:p>
    <w:p w14:paraId="29BCDC4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STT;</w:t>
      </w:r>
    </w:p>
    <w:p w14:paraId="4D5C238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WFC;</w:t>
      </w:r>
    </w:p>
    <w:p w14:paraId="62CBDCA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ZION;</w:t>
      </w:r>
    </w:p>
    <w:p w14:paraId="41DD51C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'Date'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9822D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'Price'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7CF47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BA22D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CD8384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Index1;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Index; </w:t>
      </w:r>
      <w:r>
        <w:rPr>
          <w:rFonts w:ascii="Courier New" w:hAnsi="Courier New" w:cs="Courier New"/>
          <w:color w:val="008000"/>
          <w:shd w:val="clear" w:color="auto" w:fill="FFFFFF"/>
        </w:rPr>
        <w:t>*log data to address seasonality;</w:t>
      </w:r>
    </w:p>
    <w:p w14:paraId="1DF3BF6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logDJI = log(DJI);</w:t>
      </w:r>
    </w:p>
    <w:p w14:paraId="2B032FE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logGSPC = log(GSPC);</w:t>
      </w:r>
    </w:p>
    <w:p w14:paraId="3451AE6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logIXIC = log(IXIC);</w:t>
      </w:r>
    </w:p>
    <w:p w14:paraId="3C9D489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logBAC = log(BAC);</w:t>
      </w:r>
    </w:p>
    <w:p w14:paraId="78F69D2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logBBT = log(BBT);</w:t>
      </w:r>
    </w:p>
    <w:p w14:paraId="27F7A1E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logBK = log(BK);</w:t>
      </w:r>
    </w:p>
    <w:p w14:paraId="620B18B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logC = log(C);</w:t>
      </w:r>
    </w:p>
    <w:p w14:paraId="5EC04A1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logCMA = log(CMA);</w:t>
      </w:r>
    </w:p>
    <w:p w14:paraId="11E67EB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logCOF = log(COF);</w:t>
      </w:r>
    </w:p>
    <w:p w14:paraId="5297F4B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logFITB = log(FITB);</w:t>
      </w:r>
    </w:p>
    <w:p w14:paraId="2A94003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logGS = log(GS);</w:t>
      </w:r>
    </w:p>
    <w:p w14:paraId="0AD877B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logHBAN = log(HBAN);</w:t>
      </w:r>
    </w:p>
    <w:p w14:paraId="2D74D95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logJPM = log(JPM);</w:t>
      </w:r>
    </w:p>
    <w:p w14:paraId="76C25A6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logKEY = log(KEY);</w:t>
      </w:r>
    </w:p>
    <w:p w14:paraId="1913416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logMS = log(MS);</w:t>
      </w:r>
    </w:p>
    <w:p w14:paraId="12C06BA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logMTB = log(MTB);</w:t>
      </w:r>
    </w:p>
    <w:p w14:paraId="7AEF973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logPBCT = log(PBCT);</w:t>
      </w:r>
    </w:p>
    <w:p w14:paraId="54895B9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logPNC = log(PNC);</w:t>
      </w:r>
    </w:p>
    <w:p w14:paraId="348ABF3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logSTI = log(STI);</w:t>
      </w:r>
    </w:p>
    <w:p w14:paraId="49D760C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logSTT = log(STT);</w:t>
      </w:r>
    </w:p>
    <w:p w14:paraId="66A86F0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logUSBPO = log(USB);</w:t>
      </w:r>
    </w:p>
    <w:p w14:paraId="66B9783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logWFC = log(WFC);</w:t>
      </w:r>
    </w:p>
    <w:p w14:paraId="74452FF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logZION = log(ZION);</w:t>
      </w:r>
    </w:p>
    <w:p w14:paraId="1D4EF99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9C9F94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46D40C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 </w:t>
      </w:r>
      <w:r>
        <w:rPr>
          <w:rFonts w:ascii="Courier New" w:hAnsi="Courier New" w:cs="Courier New"/>
          <w:color w:val="008000"/>
          <w:shd w:val="clear" w:color="auto" w:fill="FFFFFF"/>
        </w:rPr>
        <w:t>*plot log index data;</w:t>
      </w:r>
    </w:p>
    <w:p w14:paraId="7E5B1BC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logDJI;</w:t>
      </w:r>
    </w:p>
    <w:p w14:paraId="0845D3C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logGSPC;</w:t>
      </w:r>
    </w:p>
    <w:p w14:paraId="79DA202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logIXIC;</w:t>
      </w:r>
    </w:p>
    <w:p w14:paraId="401168F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'Log of Market Indices Historical Value (2002 - 2009)'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6F4A71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'Date'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2BA212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'Value'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959C7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BA08B3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90AE00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 </w:t>
      </w:r>
      <w:r>
        <w:rPr>
          <w:rFonts w:ascii="Courier New" w:hAnsi="Courier New" w:cs="Courier New"/>
          <w:color w:val="008000"/>
          <w:shd w:val="clear" w:color="auto" w:fill="FFFFFF"/>
        </w:rPr>
        <w:t>*plot log stock price data;</w:t>
      </w:r>
    </w:p>
    <w:p w14:paraId="71424FB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logBAC;</w:t>
      </w:r>
    </w:p>
    <w:p w14:paraId="17F8855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logBBT;</w:t>
      </w:r>
    </w:p>
    <w:p w14:paraId="341FD8B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logBK;</w:t>
      </w:r>
    </w:p>
    <w:p w14:paraId="44CA696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logC;</w:t>
      </w:r>
    </w:p>
    <w:p w14:paraId="24399A3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logCMA;</w:t>
      </w:r>
    </w:p>
    <w:p w14:paraId="50DDD9A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logCOF;</w:t>
      </w:r>
    </w:p>
    <w:p w14:paraId="69F3421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logFITB;</w:t>
      </w:r>
    </w:p>
    <w:p w14:paraId="343C551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logGS;</w:t>
      </w:r>
    </w:p>
    <w:p w14:paraId="09980A5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logHBAN;</w:t>
      </w:r>
    </w:p>
    <w:p w14:paraId="28D0DEE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logJPM;</w:t>
      </w:r>
    </w:p>
    <w:p w14:paraId="7003379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logKEY;</w:t>
      </w:r>
    </w:p>
    <w:p w14:paraId="4677FA7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logMS;</w:t>
      </w:r>
    </w:p>
    <w:p w14:paraId="03CF743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logMTB;</w:t>
      </w:r>
    </w:p>
    <w:p w14:paraId="48AAB13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logPBCT;</w:t>
      </w:r>
    </w:p>
    <w:p w14:paraId="575E0E4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logPNC;</w:t>
      </w:r>
    </w:p>
    <w:p w14:paraId="4E57B96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logSTI;</w:t>
      </w:r>
    </w:p>
    <w:p w14:paraId="1671647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logSTT;</w:t>
      </w:r>
    </w:p>
    <w:p w14:paraId="1726EE5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logUSBPO;</w:t>
      </w:r>
    </w:p>
    <w:p w14:paraId="4B9318D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logWFC;</w:t>
      </w:r>
    </w:p>
    <w:p w14:paraId="652BB1C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logZION;</w:t>
      </w:r>
    </w:p>
    <w:p w14:paraId="58505E2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'Log of Stock Price Historical Value (2002 - 2009)'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3830B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'Date'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B0D72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'Price Log'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73BFA9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096ED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BEEDF5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5FBCCC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*Check assumptions without transformation;</w:t>
      </w:r>
    </w:p>
    <w:p w14:paraId="07EBA78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6872A4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</w:t>
      </w:r>
    </w:p>
    <w:p w14:paraId="3A6DDB2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DJI = Date BAC BBT BK CMA COF FITB GS HBAN JPM KEY MS MTB PBCT PNC STI STT WFC ZION;</w:t>
      </w:r>
    </w:p>
    <w:p w14:paraId="237C6C3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77502AA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8257F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87550D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resids;</w:t>
      </w:r>
    </w:p>
    <w:p w14:paraId="47ABCF4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253AC77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'Residuals of Dow Jones model'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B029AF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'Residuals'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E009A5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2D47C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C269CA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</w:t>
      </w:r>
    </w:p>
    <w:p w14:paraId="40541E2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GSPC = Date BAC BBT BK CMA COF FITB GS HBAN JPM KEY MS MTB PBCT PNC STI STT WFC ZION;</w:t>
      </w:r>
    </w:p>
    <w:p w14:paraId="7615076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1FC9900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A60F7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7AC1C4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resids;</w:t>
      </w:r>
    </w:p>
    <w:p w14:paraId="70C6882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0B62BD6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'Residuals of S&amp;P 500'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09D65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'Residuals'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27095F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3697D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D6D301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</w:t>
      </w:r>
    </w:p>
    <w:p w14:paraId="70DB83C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IXIC = Date BAC BBT BK CMA COF FITB GS HBAN JPM KEY MS MTB PBCT PNC STI STT WFC ZION;</w:t>
      </w:r>
    </w:p>
    <w:p w14:paraId="305C435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5E8F270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4D8547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A2E144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resids;</w:t>
      </w:r>
    </w:p>
    <w:p w14:paraId="04CDC67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6543535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'Residuals of Nasdaq'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E10C7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'Residuals'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EA8259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B7156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BDF54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F786AB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*check for assumptions after transformations;</w:t>
      </w:r>
    </w:p>
    <w:p w14:paraId="59A3670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B3F18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</w:t>
      </w:r>
    </w:p>
    <w:p w14:paraId="4E4673A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logDJI = logBAC logBBT logBK logCMA logCOF logFITB logGS logHBAN logJPM logKEY logMS logMTB logPBCT logPNC logSTI logSTT logWFC logZION;</w:t>
      </w:r>
    </w:p>
    <w:p w14:paraId="7FD0C2B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06CB8F0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3B96C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B150F5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</w:t>
      </w:r>
    </w:p>
    <w:p w14:paraId="21FA406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logDJI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860B2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67DA6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0324A1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451B97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resids;</w:t>
      </w:r>
    </w:p>
    <w:p w14:paraId="3E45B56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134DAEE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'Residuals of Dow Jones model'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3A9B8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'Residuals'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6D167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044C5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CF28A4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</w:t>
      </w:r>
    </w:p>
    <w:p w14:paraId="5FAF1D8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logGSPC = Date logBAC logBBT logBK logCMA logCOF logFITB logGS logHBAN logJPM logKEY logMS logMTB logPBCT logPNC logSTI logSTT logWFC logZION;</w:t>
      </w:r>
    </w:p>
    <w:p w14:paraId="5C0DBC0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15F36AE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5809C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A7B576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</w:t>
      </w:r>
    </w:p>
    <w:p w14:paraId="18D4006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logGSPC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2032E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4EA13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18A884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resids;</w:t>
      </w:r>
    </w:p>
    <w:p w14:paraId="2A9ADD7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122EF79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'Residuals of S&amp;P 500'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DE5CF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'Residuals'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A221A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F242B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1F7072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</w:t>
      </w:r>
    </w:p>
    <w:p w14:paraId="2CDB443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logIXIC = Date logBAC logBBT logBK logCMA logCOF logFITB logGS logHBAN logJPM logKEY logMS logMTB logPBCT logPNC logSTI logSTT logWFC logZION;</w:t>
      </w:r>
    </w:p>
    <w:p w14:paraId="72D5611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7EFA075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F8951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37D1A6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resids;</w:t>
      </w:r>
    </w:p>
    <w:p w14:paraId="016BBDD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residsOLS;</w:t>
      </w:r>
    </w:p>
    <w:p w14:paraId="1D5E865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'Residuals of Nasdaq'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E54C26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'Residuals'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B1AB2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EFF402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4DA56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ACE92C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*Test for autocorrelation;</w:t>
      </w:r>
    </w:p>
    <w:p w14:paraId="31E248B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*Calculate Durbin-Watson for all 3 indexes;</w:t>
      </w:r>
    </w:p>
    <w:p w14:paraId="510B8B1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</w:t>
      </w:r>
    </w:p>
    <w:p w14:paraId="42E2B9B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'Dow Jones Durbin-Watson Test'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EFB26E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logDJI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dw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0F3C3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dwstatistic = auto_corr</w:t>
      </w:r>
    </w:p>
    <w:p w14:paraId="6785BF7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>=(label1=</w:t>
      </w:r>
      <w:r>
        <w:rPr>
          <w:rFonts w:ascii="Courier New" w:hAnsi="Courier New" w:cs="Courier New"/>
          <w:color w:val="800080"/>
          <w:shd w:val="clear" w:color="auto" w:fill="FFFFFF"/>
        </w:rPr>
        <w:t>"1st Order AutoCorrelation - AR1"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110F9FB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6DD9C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448CC5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</w:t>
      </w:r>
    </w:p>
    <w:p w14:paraId="07D4C52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'S&amp;P 500 Durbin-Watson Test'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9D54C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logGSPC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dw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CADCD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dwstatistic = auto_corr</w:t>
      </w:r>
    </w:p>
    <w:p w14:paraId="7F870FE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>=(label1=</w:t>
      </w:r>
      <w:r>
        <w:rPr>
          <w:rFonts w:ascii="Courier New" w:hAnsi="Courier New" w:cs="Courier New"/>
          <w:color w:val="800080"/>
          <w:shd w:val="clear" w:color="auto" w:fill="FFFFFF"/>
        </w:rPr>
        <w:t>"1st Order AutoCorrelation - AR1"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7B7ADF8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DEDFC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83C31D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Index1;</w:t>
      </w:r>
    </w:p>
    <w:p w14:paraId="084F9B7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'Nasdaq Durbin-Watson Test'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C89E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logIXIC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dw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1298E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dwstatistic = auto_corr</w:t>
      </w:r>
    </w:p>
    <w:p w14:paraId="29802AF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>=(label1=</w:t>
      </w:r>
      <w:r>
        <w:rPr>
          <w:rFonts w:ascii="Courier New" w:hAnsi="Courier New" w:cs="Courier New"/>
          <w:color w:val="800080"/>
          <w:shd w:val="clear" w:color="auto" w:fill="FFFFFF"/>
        </w:rPr>
        <w:t>"1st Order AutoCorrelation - AR1"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34FDDC5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F9CFF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FAB131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8183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autoreg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 </w:t>
      </w:r>
      <w:r>
        <w:rPr>
          <w:rFonts w:ascii="Courier New" w:hAnsi="Courier New" w:cs="Courier New"/>
          <w:color w:val="008000"/>
          <w:shd w:val="clear" w:color="auto" w:fill="FFFFFF"/>
        </w:rPr>
        <w:t>*Dow Jones model;</w:t>
      </w:r>
    </w:p>
    <w:p w14:paraId="5E960564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'Dow Jones model'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C59C0A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logDJI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dwprob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40425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 </w:t>
      </w:r>
      <w:r>
        <w:rPr>
          <w:rFonts w:ascii="Courier New" w:hAnsi="Courier New" w:cs="Courier New"/>
          <w:color w:val="0000FF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yhat </w:t>
      </w:r>
      <w:r>
        <w:rPr>
          <w:rFonts w:ascii="Courier New" w:hAnsi="Courier New" w:cs="Courier New"/>
          <w:color w:val="0000FF"/>
          <w:shd w:val="clear" w:color="auto" w:fill="FFFFFF"/>
        </w:rPr>
        <w:t>pm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ytrend </w:t>
      </w:r>
      <w:r>
        <w:rPr>
          <w:rFonts w:ascii="Courier New" w:hAnsi="Courier New" w:cs="Courier New"/>
          <w:color w:val="0000FF"/>
          <w:shd w:val="clear" w:color="auto" w:fill="FFFFFF"/>
        </w:rPr>
        <w:t>lcl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 </w:t>
      </w:r>
      <w:r>
        <w:rPr>
          <w:rFonts w:ascii="Courier New" w:hAnsi="Courier New" w:cs="Courier New"/>
          <w:color w:val="0000FF"/>
          <w:shd w:val="clear" w:color="auto" w:fill="FFFFFF"/>
        </w:rPr>
        <w:t>ucl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ucl;</w:t>
      </w:r>
    </w:p>
    <w:p w14:paraId="6E3D2F7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C529C6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8461F4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p; </w:t>
      </w:r>
      <w:r>
        <w:rPr>
          <w:rFonts w:ascii="Courier New" w:hAnsi="Courier New" w:cs="Courier New"/>
          <w:color w:val="008000"/>
          <w:shd w:val="clear" w:color="auto" w:fill="FFFFFF"/>
        </w:rPr>
        <w:t>*Dow Jones model plot;</w:t>
      </w:r>
    </w:p>
    <w:p w14:paraId="452A280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Date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'01jan2008'd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D4D7FF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'Dow Jones Market Value (2008 - 2009)'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32D2C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ucl </w:t>
      </w:r>
      <w:r>
        <w:rPr>
          <w:rFonts w:ascii="Courier New" w:hAnsi="Courier New" w:cs="Courier New"/>
          <w:color w:val="0000FF"/>
          <w:shd w:val="clear" w:color="auto" w:fill="FFFFFF"/>
        </w:rPr>
        <w:t>lower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lcl;</w:t>
      </w:r>
    </w:p>
    <w:p w14:paraId="35CD61B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logDJI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black);</w:t>
      </w:r>
    </w:p>
    <w:p w14:paraId="232B0E5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yhat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red) </w:t>
      </w:r>
      <w:r>
        <w:rPr>
          <w:rFonts w:ascii="Courier New" w:hAnsi="Courier New" w:cs="Courier New"/>
          <w:color w:val="0000FF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D0E29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ytrend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blue </w:t>
      </w:r>
      <w:r>
        <w:rPr>
          <w:rFonts w:ascii="Courier New" w:hAnsi="Courier New" w:cs="Courier New"/>
          <w:color w:val="0000FF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dash) </w:t>
      </w:r>
      <w:r>
        <w:rPr>
          <w:rFonts w:ascii="Courier New" w:hAnsi="Courier New" w:cs="Courier New"/>
          <w:color w:val="0000FF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9907D6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'Value'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29045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98183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4E56F3C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autoreg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 </w:t>
      </w:r>
      <w:r>
        <w:rPr>
          <w:rFonts w:ascii="Courier New" w:hAnsi="Courier New" w:cs="Courier New"/>
          <w:color w:val="008000"/>
          <w:shd w:val="clear" w:color="auto" w:fill="FFFFFF"/>
        </w:rPr>
        <w:t>*S&amp;P 500 model;</w:t>
      </w:r>
    </w:p>
    <w:p w14:paraId="00E943A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'S&amp;P 500 model'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D595B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logGSPC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dwprob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DC855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 </w:t>
      </w:r>
      <w:r>
        <w:rPr>
          <w:rFonts w:ascii="Courier New" w:hAnsi="Courier New" w:cs="Courier New"/>
          <w:color w:val="0000FF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yhat </w:t>
      </w:r>
      <w:r>
        <w:rPr>
          <w:rFonts w:ascii="Courier New" w:hAnsi="Courier New" w:cs="Courier New"/>
          <w:color w:val="0000FF"/>
          <w:shd w:val="clear" w:color="auto" w:fill="FFFFFF"/>
        </w:rPr>
        <w:t>pm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ytrend </w:t>
      </w:r>
      <w:r>
        <w:rPr>
          <w:rFonts w:ascii="Courier New" w:hAnsi="Courier New" w:cs="Courier New"/>
          <w:color w:val="0000FF"/>
          <w:shd w:val="clear" w:color="auto" w:fill="FFFFFF"/>
        </w:rPr>
        <w:t>lcl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 </w:t>
      </w:r>
      <w:r>
        <w:rPr>
          <w:rFonts w:ascii="Courier New" w:hAnsi="Courier New" w:cs="Courier New"/>
          <w:color w:val="0000FF"/>
          <w:shd w:val="clear" w:color="auto" w:fill="FFFFFF"/>
        </w:rPr>
        <w:t>ucl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ucl;</w:t>
      </w:r>
    </w:p>
    <w:p w14:paraId="19F4180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49EC2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2F5EAE0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p; </w:t>
      </w:r>
      <w:r>
        <w:rPr>
          <w:rFonts w:ascii="Courier New" w:hAnsi="Courier New" w:cs="Courier New"/>
          <w:color w:val="008000"/>
          <w:shd w:val="clear" w:color="auto" w:fill="FFFFFF"/>
        </w:rPr>
        <w:t>*S&amp;P 500 model plot;</w:t>
      </w:r>
    </w:p>
    <w:p w14:paraId="0F406CD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'S&amp;P 500 Market Value (2008 - 2009)'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9C494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Date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'01jan2008'd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7B4D69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ucl </w:t>
      </w:r>
      <w:r>
        <w:rPr>
          <w:rFonts w:ascii="Courier New" w:hAnsi="Courier New" w:cs="Courier New"/>
          <w:color w:val="0000FF"/>
          <w:shd w:val="clear" w:color="auto" w:fill="FFFFFF"/>
        </w:rPr>
        <w:t>lower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lcl;</w:t>
      </w:r>
    </w:p>
    <w:p w14:paraId="7F99C4A8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logGSPC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black);</w:t>
      </w:r>
    </w:p>
    <w:p w14:paraId="491A64C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yhat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red) </w:t>
      </w:r>
      <w:r>
        <w:rPr>
          <w:rFonts w:ascii="Courier New" w:hAnsi="Courier New" w:cs="Courier New"/>
          <w:color w:val="0000FF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98268B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ytrend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blue </w:t>
      </w:r>
      <w:r>
        <w:rPr>
          <w:rFonts w:ascii="Courier New" w:hAnsi="Courier New" w:cs="Courier New"/>
          <w:color w:val="0000FF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dash) </w:t>
      </w:r>
      <w:r>
        <w:rPr>
          <w:rFonts w:ascii="Courier New" w:hAnsi="Courier New" w:cs="Courier New"/>
          <w:color w:val="0000FF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0B6196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'Value'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AB8F1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9CFF6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50000E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autoreg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Index1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all; </w:t>
      </w:r>
      <w:r>
        <w:rPr>
          <w:rFonts w:ascii="Courier New" w:hAnsi="Courier New" w:cs="Courier New"/>
          <w:color w:val="008000"/>
          <w:shd w:val="clear" w:color="auto" w:fill="FFFFFF"/>
        </w:rPr>
        <w:t>*NASDAQ model;</w:t>
      </w:r>
    </w:p>
    <w:p w14:paraId="3C2F142E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'NASDAQ model'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525EB0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logIXIC = Date logBAC logBBT logBK logCMA logCOF logFITB logGS logHBAN logJPM logKEY logMS logMTB logPBCT logPNC logSTI logSTT logWFC logZION / </w:t>
      </w:r>
      <w:r>
        <w:rPr>
          <w:rFonts w:ascii="Courier New" w:hAnsi="Courier New" w:cs="Courier New"/>
          <w:color w:val="0000FF"/>
          <w:shd w:val="clear" w:color="auto" w:fill="FFFFFF"/>
        </w:rPr>
        <w:t>dwprob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B61581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 </w:t>
      </w:r>
      <w:r>
        <w:rPr>
          <w:rFonts w:ascii="Courier New" w:hAnsi="Courier New" w:cs="Courier New"/>
          <w:color w:val="0000FF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yhat </w:t>
      </w:r>
      <w:r>
        <w:rPr>
          <w:rFonts w:ascii="Courier New" w:hAnsi="Courier New" w:cs="Courier New"/>
          <w:color w:val="0000FF"/>
          <w:shd w:val="clear" w:color="auto" w:fill="FFFFFF"/>
        </w:rPr>
        <w:t>pm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ytrend </w:t>
      </w:r>
      <w:r>
        <w:rPr>
          <w:rFonts w:ascii="Courier New" w:hAnsi="Courier New" w:cs="Courier New"/>
          <w:color w:val="0000FF"/>
          <w:shd w:val="clear" w:color="auto" w:fill="FFFFFF"/>
        </w:rPr>
        <w:t>lcl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 </w:t>
      </w:r>
      <w:r>
        <w:rPr>
          <w:rFonts w:ascii="Courier New" w:hAnsi="Courier New" w:cs="Courier New"/>
          <w:color w:val="0000FF"/>
          <w:shd w:val="clear" w:color="auto" w:fill="FFFFFF"/>
        </w:rPr>
        <w:t>ucl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ucl;</w:t>
      </w:r>
    </w:p>
    <w:p w14:paraId="4663C4EA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C8610AF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E3AF4F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p; </w:t>
      </w:r>
      <w:r>
        <w:rPr>
          <w:rFonts w:ascii="Courier New" w:hAnsi="Courier New" w:cs="Courier New"/>
          <w:color w:val="008000"/>
          <w:shd w:val="clear" w:color="auto" w:fill="FFFFFF"/>
        </w:rPr>
        <w:t>*NASDAQ model plot;</w:t>
      </w:r>
    </w:p>
    <w:p w14:paraId="76D3CCF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Date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'01jan2008'd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6C0763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'NASDAQ Market Value (2008 - 2009)'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64360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ucl </w:t>
      </w:r>
      <w:r>
        <w:rPr>
          <w:rFonts w:ascii="Courier New" w:hAnsi="Courier New" w:cs="Courier New"/>
          <w:color w:val="0000FF"/>
          <w:shd w:val="clear" w:color="auto" w:fill="FFFFFF"/>
        </w:rPr>
        <w:t>lower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lcl;</w:t>
      </w:r>
    </w:p>
    <w:p w14:paraId="4478CAC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logIXIC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black);</w:t>
      </w:r>
    </w:p>
    <w:p w14:paraId="6908559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yhat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red) </w:t>
      </w:r>
      <w:r>
        <w:rPr>
          <w:rFonts w:ascii="Courier New" w:hAnsi="Courier New" w:cs="Courier New"/>
          <w:color w:val="0000FF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FC944A5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Date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ytrend / </w:t>
      </w:r>
      <w:r>
        <w:rPr>
          <w:rFonts w:ascii="Courier New" w:hAnsi="Courier New" w:cs="Courier New"/>
          <w:color w:val="0000FF"/>
          <w:shd w:val="clear" w:color="auto" w:fill="FFFFFF"/>
        </w:rPr>
        <w:t>lineattrs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blue </w:t>
      </w:r>
      <w:r>
        <w:rPr>
          <w:rFonts w:ascii="Courier New" w:hAnsi="Courier New" w:cs="Courier New"/>
          <w:color w:val="0000FF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dash) </w:t>
      </w:r>
      <w:r>
        <w:rPr>
          <w:rFonts w:ascii="Courier New" w:hAnsi="Courier New" w:cs="Courier New"/>
          <w:color w:val="0000FF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5B5B42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'Value'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C8F3C7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63CFC59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CA9C11D" w14:textId="77777777" w:rsidR="006818D3" w:rsidRDefault="006818D3" w:rsidP="006818D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0686411" w14:textId="14E8DEA5" w:rsidR="00F70911" w:rsidRDefault="00F70911" w:rsidP="00F70911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bookmarkStart w:id="0" w:name="_GoBack"/>
      <w:bookmarkEnd w:id="0"/>
    </w:p>
    <w:p w14:paraId="4FD3C33B" w14:textId="77777777" w:rsidR="00F70911" w:rsidRDefault="00F70911" w:rsidP="00F70911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91CDF7B" w14:textId="77777777" w:rsidR="00FC48D5" w:rsidRPr="000536FA" w:rsidRDefault="00FC48D5" w:rsidP="0013354F">
      <w:pPr>
        <w:pStyle w:val="Text"/>
        <w:rPr>
          <w:sz w:val="22"/>
          <w:szCs w:val="22"/>
        </w:rPr>
      </w:pPr>
    </w:p>
    <w:p w14:paraId="0268C9A5" w14:textId="77777777" w:rsidR="00E97402" w:rsidRPr="000536FA" w:rsidRDefault="00E97402" w:rsidP="000536FA">
      <w:pPr>
        <w:pStyle w:val="ReferenceHead"/>
        <w:jc w:val="left"/>
        <w:rPr>
          <w:b/>
          <w:sz w:val="22"/>
          <w:szCs w:val="22"/>
        </w:rPr>
      </w:pPr>
      <w:r w:rsidRPr="000536FA">
        <w:rPr>
          <w:b/>
          <w:sz w:val="22"/>
          <w:szCs w:val="22"/>
        </w:rPr>
        <w:t>References</w:t>
      </w:r>
    </w:p>
    <w:p w14:paraId="6AE84E12" w14:textId="39293E3E" w:rsidR="00832B83" w:rsidRPr="000536FA" w:rsidRDefault="00E6252C" w:rsidP="008E0645">
      <w:pPr>
        <w:pStyle w:val="References"/>
        <w:rPr>
          <w:sz w:val="22"/>
          <w:szCs w:val="22"/>
        </w:rPr>
      </w:pPr>
      <w:r w:rsidRPr="000536FA">
        <w:rPr>
          <w:sz w:val="22"/>
          <w:szCs w:val="22"/>
        </w:rPr>
        <w:t>N. Clowers, “Financial Crisis Losses and Potential Impacts of the Dodd-Frank Act</w:t>
      </w:r>
      <w:r w:rsidR="00035F04" w:rsidRPr="000536FA">
        <w:rPr>
          <w:sz w:val="22"/>
          <w:szCs w:val="22"/>
        </w:rPr>
        <w:t>,” United States Government Accountability Office</w:t>
      </w:r>
      <w:r w:rsidR="00C87B42" w:rsidRPr="000536FA">
        <w:rPr>
          <w:sz w:val="22"/>
          <w:szCs w:val="22"/>
        </w:rPr>
        <w:t>, Washington, DC, GAO-13-180</w:t>
      </w:r>
      <w:r w:rsidR="00576D0A" w:rsidRPr="000536FA">
        <w:rPr>
          <w:sz w:val="22"/>
          <w:szCs w:val="22"/>
        </w:rPr>
        <w:t>, Jan. 16, 2013.</w:t>
      </w:r>
    </w:p>
    <w:sectPr w:rsidR="00832B83" w:rsidRPr="000536FA" w:rsidSect="003524BE">
      <w:type w:val="continuous"/>
      <w:pgSz w:w="12240" w:h="15840" w:code="1"/>
      <w:pgMar w:top="1440" w:right="1440" w:bottom="1440" w:left="1440" w:header="432" w:footer="432" w:gutter="0"/>
      <w:cols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423A" w14:textId="77777777" w:rsidR="00CC555A" w:rsidRDefault="00CC555A">
      <w:r>
        <w:separator/>
      </w:r>
    </w:p>
  </w:endnote>
  <w:endnote w:type="continuationSeparator" w:id="0">
    <w:p w14:paraId="54DAFAEC" w14:textId="77777777" w:rsidR="00CC555A" w:rsidRDefault="00CC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A7EAD" w14:textId="77777777" w:rsidR="00CC555A" w:rsidRDefault="00CC555A"/>
  </w:footnote>
  <w:footnote w:type="continuationSeparator" w:id="0">
    <w:p w14:paraId="3C990641" w14:textId="77777777" w:rsidR="00CC555A" w:rsidRDefault="00CC555A">
      <w:r>
        <w:continuationSeparator/>
      </w:r>
    </w:p>
  </w:footnote>
  <w:footnote w:id="1">
    <w:p w14:paraId="6C78F87B" w14:textId="564F7F36" w:rsidR="00DE07FA" w:rsidRDefault="00DE07FA" w:rsidP="005C2334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FFFED" w14:textId="77777777" w:rsidR="00DE07FA" w:rsidRDefault="00214824">
    <w:pPr>
      <w:framePr w:wrap="auto" w:vAnchor="text" w:hAnchor="margin" w:xAlign="right" w:y="1"/>
    </w:pPr>
    <w:r>
      <w:fldChar w:fldCharType="begin"/>
    </w:r>
    <w:r w:rsidR="00DE07FA">
      <w:instrText xml:space="preserve">PAGE  </w:instrText>
    </w:r>
    <w:r>
      <w:fldChar w:fldCharType="separate"/>
    </w:r>
    <w:r w:rsidR="0033447E">
      <w:rPr>
        <w:noProof/>
      </w:rPr>
      <w:t>6</w:t>
    </w:r>
    <w:r>
      <w:fldChar w:fldCharType="end"/>
    </w:r>
  </w:p>
  <w:p w14:paraId="0B924215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98963C68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35B"/>
    <w:rsid w:val="00014294"/>
    <w:rsid w:val="0001682D"/>
    <w:rsid w:val="00021B0D"/>
    <w:rsid w:val="0002416C"/>
    <w:rsid w:val="00035F04"/>
    <w:rsid w:val="0003775D"/>
    <w:rsid w:val="00040394"/>
    <w:rsid w:val="00040A42"/>
    <w:rsid w:val="00042E13"/>
    <w:rsid w:val="0004673B"/>
    <w:rsid w:val="00052BC3"/>
    <w:rsid w:val="0005323A"/>
    <w:rsid w:val="000536FA"/>
    <w:rsid w:val="000648F2"/>
    <w:rsid w:val="00065850"/>
    <w:rsid w:val="00077705"/>
    <w:rsid w:val="00094CDD"/>
    <w:rsid w:val="000A168B"/>
    <w:rsid w:val="000A3EEA"/>
    <w:rsid w:val="000B0AE4"/>
    <w:rsid w:val="000B2BDB"/>
    <w:rsid w:val="000B45FA"/>
    <w:rsid w:val="000B795C"/>
    <w:rsid w:val="000C2944"/>
    <w:rsid w:val="000C2D25"/>
    <w:rsid w:val="000C793F"/>
    <w:rsid w:val="000D24F8"/>
    <w:rsid w:val="000D2BDE"/>
    <w:rsid w:val="000D2C79"/>
    <w:rsid w:val="000D3F06"/>
    <w:rsid w:val="000D4CD0"/>
    <w:rsid w:val="000D5BF6"/>
    <w:rsid w:val="000E0A03"/>
    <w:rsid w:val="000E0BA3"/>
    <w:rsid w:val="000E0CD3"/>
    <w:rsid w:val="000E0F7D"/>
    <w:rsid w:val="000E17ED"/>
    <w:rsid w:val="000F3F83"/>
    <w:rsid w:val="00104BB0"/>
    <w:rsid w:val="0010794E"/>
    <w:rsid w:val="00110F5D"/>
    <w:rsid w:val="001114E8"/>
    <w:rsid w:val="00112F02"/>
    <w:rsid w:val="0011342F"/>
    <w:rsid w:val="00113BB6"/>
    <w:rsid w:val="00114F60"/>
    <w:rsid w:val="0011626F"/>
    <w:rsid w:val="001212A8"/>
    <w:rsid w:val="00121AC4"/>
    <w:rsid w:val="0013354F"/>
    <w:rsid w:val="00135D50"/>
    <w:rsid w:val="00136F49"/>
    <w:rsid w:val="001375DB"/>
    <w:rsid w:val="001377EC"/>
    <w:rsid w:val="00143F2E"/>
    <w:rsid w:val="00143FC6"/>
    <w:rsid w:val="00144E72"/>
    <w:rsid w:val="001460B3"/>
    <w:rsid w:val="0015090C"/>
    <w:rsid w:val="00157216"/>
    <w:rsid w:val="00164786"/>
    <w:rsid w:val="00167261"/>
    <w:rsid w:val="00170B35"/>
    <w:rsid w:val="001768FF"/>
    <w:rsid w:val="00177C6D"/>
    <w:rsid w:val="00193F68"/>
    <w:rsid w:val="001940FE"/>
    <w:rsid w:val="001A06FC"/>
    <w:rsid w:val="001A60B1"/>
    <w:rsid w:val="001B36B1"/>
    <w:rsid w:val="001B54FF"/>
    <w:rsid w:val="001B7DC6"/>
    <w:rsid w:val="001C5006"/>
    <w:rsid w:val="001C54FA"/>
    <w:rsid w:val="001D335F"/>
    <w:rsid w:val="001E2F3D"/>
    <w:rsid w:val="001E2FC9"/>
    <w:rsid w:val="001E45D4"/>
    <w:rsid w:val="001E7B7A"/>
    <w:rsid w:val="001F4C5C"/>
    <w:rsid w:val="001F571B"/>
    <w:rsid w:val="00204478"/>
    <w:rsid w:val="00204758"/>
    <w:rsid w:val="0020621B"/>
    <w:rsid w:val="00207A46"/>
    <w:rsid w:val="002102C6"/>
    <w:rsid w:val="00214824"/>
    <w:rsid w:val="00214E2E"/>
    <w:rsid w:val="00216141"/>
    <w:rsid w:val="00217186"/>
    <w:rsid w:val="002216A5"/>
    <w:rsid w:val="00227F80"/>
    <w:rsid w:val="00233A56"/>
    <w:rsid w:val="00234D01"/>
    <w:rsid w:val="00235129"/>
    <w:rsid w:val="0023534A"/>
    <w:rsid w:val="00235D5E"/>
    <w:rsid w:val="00237FE7"/>
    <w:rsid w:val="00240340"/>
    <w:rsid w:val="00241FC2"/>
    <w:rsid w:val="002428B3"/>
    <w:rsid w:val="002434A1"/>
    <w:rsid w:val="00246E92"/>
    <w:rsid w:val="002470ED"/>
    <w:rsid w:val="002479F1"/>
    <w:rsid w:val="00251010"/>
    <w:rsid w:val="002601B2"/>
    <w:rsid w:val="00263943"/>
    <w:rsid w:val="00267536"/>
    <w:rsid w:val="00267B35"/>
    <w:rsid w:val="002728B6"/>
    <w:rsid w:val="00274D9A"/>
    <w:rsid w:val="00276145"/>
    <w:rsid w:val="002768D7"/>
    <w:rsid w:val="002814CA"/>
    <w:rsid w:val="00285D0F"/>
    <w:rsid w:val="00291A01"/>
    <w:rsid w:val="00293DA2"/>
    <w:rsid w:val="00294512"/>
    <w:rsid w:val="00297E8B"/>
    <w:rsid w:val="002A309E"/>
    <w:rsid w:val="002B2269"/>
    <w:rsid w:val="002C4B01"/>
    <w:rsid w:val="002C77FE"/>
    <w:rsid w:val="002D75AA"/>
    <w:rsid w:val="002E1352"/>
    <w:rsid w:val="002E762A"/>
    <w:rsid w:val="002F0925"/>
    <w:rsid w:val="002F105E"/>
    <w:rsid w:val="002F7910"/>
    <w:rsid w:val="00300FDA"/>
    <w:rsid w:val="0030230D"/>
    <w:rsid w:val="00303164"/>
    <w:rsid w:val="00303BE6"/>
    <w:rsid w:val="00305DCF"/>
    <w:rsid w:val="003065C6"/>
    <w:rsid w:val="00324D82"/>
    <w:rsid w:val="00325E0F"/>
    <w:rsid w:val="00333C92"/>
    <w:rsid w:val="0033447E"/>
    <w:rsid w:val="00337AA1"/>
    <w:rsid w:val="003427CE"/>
    <w:rsid w:val="00344D8F"/>
    <w:rsid w:val="0034667D"/>
    <w:rsid w:val="003524BE"/>
    <w:rsid w:val="00360269"/>
    <w:rsid w:val="00361E93"/>
    <w:rsid w:val="00366F82"/>
    <w:rsid w:val="00374D95"/>
    <w:rsid w:val="0037551B"/>
    <w:rsid w:val="00382F45"/>
    <w:rsid w:val="00383FF0"/>
    <w:rsid w:val="00386430"/>
    <w:rsid w:val="00392C9A"/>
    <w:rsid w:val="00392DBA"/>
    <w:rsid w:val="0039416C"/>
    <w:rsid w:val="003B4639"/>
    <w:rsid w:val="003C1A1E"/>
    <w:rsid w:val="003C3322"/>
    <w:rsid w:val="003C37C7"/>
    <w:rsid w:val="003C4708"/>
    <w:rsid w:val="003C4B91"/>
    <w:rsid w:val="003C68C2"/>
    <w:rsid w:val="003D4CAE"/>
    <w:rsid w:val="003D5F1B"/>
    <w:rsid w:val="003D609A"/>
    <w:rsid w:val="003D620B"/>
    <w:rsid w:val="003D7D94"/>
    <w:rsid w:val="003F230A"/>
    <w:rsid w:val="003F26BD"/>
    <w:rsid w:val="003F52AD"/>
    <w:rsid w:val="003F7B16"/>
    <w:rsid w:val="00400715"/>
    <w:rsid w:val="00405941"/>
    <w:rsid w:val="004077AD"/>
    <w:rsid w:val="0041597F"/>
    <w:rsid w:val="00417AE8"/>
    <w:rsid w:val="00420AB1"/>
    <w:rsid w:val="0043144F"/>
    <w:rsid w:val="00431BFA"/>
    <w:rsid w:val="004353CF"/>
    <w:rsid w:val="00437C14"/>
    <w:rsid w:val="004415F7"/>
    <w:rsid w:val="004500A7"/>
    <w:rsid w:val="004511E3"/>
    <w:rsid w:val="004542CA"/>
    <w:rsid w:val="004631BC"/>
    <w:rsid w:val="0047724C"/>
    <w:rsid w:val="00477821"/>
    <w:rsid w:val="00477F08"/>
    <w:rsid w:val="00484761"/>
    <w:rsid w:val="00484DD5"/>
    <w:rsid w:val="004B220F"/>
    <w:rsid w:val="004B48B3"/>
    <w:rsid w:val="004C1E16"/>
    <w:rsid w:val="004C2543"/>
    <w:rsid w:val="004C692B"/>
    <w:rsid w:val="004D15CA"/>
    <w:rsid w:val="004D46F3"/>
    <w:rsid w:val="004E01C9"/>
    <w:rsid w:val="004E3E4C"/>
    <w:rsid w:val="004F23A0"/>
    <w:rsid w:val="005003E3"/>
    <w:rsid w:val="005040A3"/>
    <w:rsid w:val="005052CD"/>
    <w:rsid w:val="00507C06"/>
    <w:rsid w:val="00515649"/>
    <w:rsid w:val="00515858"/>
    <w:rsid w:val="00517F23"/>
    <w:rsid w:val="00520779"/>
    <w:rsid w:val="00533763"/>
    <w:rsid w:val="0054203A"/>
    <w:rsid w:val="00544A1A"/>
    <w:rsid w:val="0054651A"/>
    <w:rsid w:val="00546B11"/>
    <w:rsid w:val="00550A26"/>
    <w:rsid w:val="00550BC5"/>
    <w:rsid w:val="00550BF5"/>
    <w:rsid w:val="00551287"/>
    <w:rsid w:val="00553072"/>
    <w:rsid w:val="005565FA"/>
    <w:rsid w:val="00557B14"/>
    <w:rsid w:val="00567A70"/>
    <w:rsid w:val="0057151D"/>
    <w:rsid w:val="005717C7"/>
    <w:rsid w:val="00574452"/>
    <w:rsid w:val="005764C7"/>
    <w:rsid w:val="00576D0A"/>
    <w:rsid w:val="00580BBF"/>
    <w:rsid w:val="0058180C"/>
    <w:rsid w:val="00583433"/>
    <w:rsid w:val="00597A1D"/>
    <w:rsid w:val="005A1611"/>
    <w:rsid w:val="005A242E"/>
    <w:rsid w:val="005A2A15"/>
    <w:rsid w:val="005A5E95"/>
    <w:rsid w:val="005A6611"/>
    <w:rsid w:val="005A7A32"/>
    <w:rsid w:val="005B0F1A"/>
    <w:rsid w:val="005B32D0"/>
    <w:rsid w:val="005B536E"/>
    <w:rsid w:val="005C2334"/>
    <w:rsid w:val="005C5EC7"/>
    <w:rsid w:val="005D1B15"/>
    <w:rsid w:val="005D2824"/>
    <w:rsid w:val="005D4F1A"/>
    <w:rsid w:val="005D6D2A"/>
    <w:rsid w:val="005D72BB"/>
    <w:rsid w:val="005E692F"/>
    <w:rsid w:val="005F06F3"/>
    <w:rsid w:val="005F0F4B"/>
    <w:rsid w:val="005F742B"/>
    <w:rsid w:val="0061527A"/>
    <w:rsid w:val="0062114B"/>
    <w:rsid w:val="00623698"/>
    <w:rsid w:val="00623F18"/>
    <w:rsid w:val="00625E96"/>
    <w:rsid w:val="00626C5C"/>
    <w:rsid w:val="00634E7E"/>
    <w:rsid w:val="00645796"/>
    <w:rsid w:val="00646605"/>
    <w:rsid w:val="00647C09"/>
    <w:rsid w:val="00647E42"/>
    <w:rsid w:val="00650CC4"/>
    <w:rsid w:val="00651F2C"/>
    <w:rsid w:val="00662541"/>
    <w:rsid w:val="00676DD6"/>
    <w:rsid w:val="006818D3"/>
    <w:rsid w:val="006854A0"/>
    <w:rsid w:val="006918E0"/>
    <w:rsid w:val="006935E2"/>
    <w:rsid w:val="00693D5D"/>
    <w:rsid w:val="00695FDF"/>
    <w:rsid w:val="006A2E6C"/>
    <w:rsid w:val="006A3A8F"/>
    <w:rsid w:val="006A4896"/>
    <w:rsid w:val="006A60AA"/>
    <w:rsid w:val="006B1082"/>
    <w:rsid w:val="006B205D"/>
    <w:rsid w:val="006B4091"/>
    <w:rsid w:val="006B7F03"/>
    <w:rsid w:val="006C798B"/>
    <w:rsid w:val="006D6F1A"/>
    <w:rsid w:val="006D7A8A"/>
    <w:rsid w:val="006E2B85"/>
    <w:rsid w:val="006E792A"/>
    <w:rsid w:val="006F304F"/>
    <w:rsid w:val="006F3EF0"/>
    <w:rsid w:val="00701A35"/>
    <w:rsid w:val="007050DD"/>
    <w:rsid w:val="00705E5C"/>
    <w:rsid w:val="00712C8A"/>
    <w:rsid w:val="0071408E"/>
    <w:rsid w:val="00722C1A"/>
    <w:rsid w:val="00724D6D"/>
    <w:rsid w:val="00725B45"/>
    <w:rsid w:val="00725BD5"/>
    <w:rsid w:val="007318EE"/>
    <w:rsid w:val="00737CA6"/>
    <w:rsid w:val="00755DBB"/>
    <w:rsid w:val="00766183"/>
    <w:rsid w:val="00770D59"/>
    <w:rsid w:val="00771030"/>
    <w:rsid w:val="0078025D"/>
    <w:rsid w:val="00781158"/>
    <w:rsid w:val="007873B1"/>
    <w:rsid w:val="00791D20"/>
    <w:rsid w:val="007932A6"/>
    <w:rsid w:val="007A0574"/>
    <w:rsid w:val="007A0DEB"/>
    <w:rsid w:val="007A7B9C"/>
    <w:rsid w:val="007B54E1"/>
    <w:rsid w:val="007C1E42"/>
    <w:rsid w:val="007C4336"/>
    <w:rsid w:val="007C4B4D"/>
    <w:rsid w:val="007D35C7"/>
    <w:rsid w:val="007F00D4"/>
    <w:rsid w:val="007F6BA9"/>
    <w:rsid w:val="007F7AA6"/>
    <w:rsid w:val="00812AC4"/>
    <w:rsid w:val="00813536"/>
    <w:rsid w:val="0081365B"/>
    <w:rsid w:val="00823624"/>
    <w:rsid w:val="00823A80"/>
    <w:rsid w:val="00832B83"/>
    <w:rsid w:val="00837E47"/>
    <w:rsid w:val="00841152"/>
    <w:rsid w:val="008435B3"/>
    <w:rsid w:val="008518FE"/>
    <w:rsid w:val="008556B0"/>
    <w:rsid w:val="0085659C"/>
    <w:rsid w:val="008609DE"/>
    <w:rsid w:val="0087097A"/>
    <w:rsid w:val="00870AEB"/>
    <w:rsid w:val="00872026"/>
    <w:rsid w:val="0087755F"/>
    <w:rsid w:val="0087792E"/>
    <w:rsid w:val="00877BFE"/>
    <w:rsid w:val="00883EAF"/>
    <w:rsid w:val="00884D0A"/>
    <w:rsid w:val="00885258"/>
    <w:rsid w:val="00893BD2"/>
    <w:rsid w:val="008A30C3"/>
    <w:rsid w:val="008A3C23"/>
    <w:rsid w:val="008A5318"/>
    <w:rsid w:val="008A7790"/>
    <w:rsid w:val="008B7C9C"/>
    <w:rsid w:val="008C49CC"/>
    <w:rsid w:val="008C5DF8"/>
    <w:rsid w:val="008D193D"/>
    <w:rsid w:val="008D4305"/>
    <w:rsid w:val="008D565C"/>
    <w:rsid w:val="008D69E9"/>
    <w:rsid w:val="008E0645"/>
    <w:rsid w:val="008E4365"/>
    <w:rsid w:val="008F47FE"/>
    <w:rsid w:val="008F565E"/>
    <w:rsid w:val="008F594A"/>
    <w:rsid w:val="00901929"/>
    <w:rsid w:val="00902999"/>
    <w:rsid w:val="009037D7"/>
    <w:rsid w:val="00904C7E"/>
    <w:rsid w:val="0091035B"/>
    <w:rsid w:val="009171BD"/>
    <w:rsid w:val="00937F30"/>
    <w:rsid w:val="00940325"/>
    <w:rsid w:val="00940F29"/>
    <w:rsid w:val="009450F4"/>
    <w:rsid w:val="00945B3F"/>
    <w:rsid w:val="0094694D"/>
    <w:rsid w:val="00961B4E"/>
    <w:rsid w:val="009637DC"/>
    <w:rsid w:val="00966E8C"/>
    <w:rsid w:val="00973D24"/>
    <w:rsid w:val="00975803"/>
    <w:rsid w:val="00976BDA"/>
    <w:rsid w:val="00984C3C"/>
    <w:rsid w:val="00987759"/>
    <w:rsid w:val="009903BA"/>
    <w:rsid w:val="00990B0C"/>
    <w:rsid w:val="00991215"/>
    <w:rsid w:val="00997D48"/>
    <w:rsid w:val="009A0A9D"/>
    <w:rsid w:val="009A1F6E"/>
    <w:rsid w:val="009A39A9"/>
    <w:rsid w:val="009A3C81"/>
    <w:rsid w:val="009B42ED"/>
    <w:rsid w:val="009C1C84"/>
    <w:rsid w:val="009C36DD"/>
    <w:rsid w:val="009C5374"/>
    <w:rsid w:val="009C7D17"/>
    <w:rsid w:val="009D0379"/>
    <w:rsid w:val="009D565A"/>
    <w:rsid w:val="009E1DAA"/>
    <w:rsid w:val="009E2E23"/>
    <w:rsid w:val="009E484E"/>
    <w:rsid w:val="009E7FB2"/>
    <w:rsid w:val="009F0B29"/>
    <w:rsid w:val="009F40FB"/>
    <w:rsid w:val="009F41F2"/>
    <w:rsid w:val="00A0473E"/>
    <w:rsid w:val="00A055DA"/>
    <w:rsid w:val="00A05FC0"/>
    <w:rsid w:val="00A1441D"/>
    <w:rsid w:val="00A17B56"/>
    <w:rsid w:val="00A22FCB"/>
    <w:rsid w:val="00A43F36"/>
    <w:rsid w:val="00A44AB5"/>
    <w:rsid w:val="00A472F1"/>
    <w:rsid w:val="00A5237D"/>
    <w:rsid w:val="00A530CD"/>
    <w:rsid w:val="00A554A3"/>
    <w:rsid w:val="00A56399"/>
    <w:rsid w:val="00A603D7"/>
    <w:rsid w:val="00A64F33"/>
    <w:rsid w:val="00A67356"/>
    <w:rsid w:val="00A758EA"/>
    <w:rsid w:val="00A84A7F"/>
    <w:rsid w:val="00A95C50"/>
    <w:rsid w:val="00AB79A6"/>
    <w:rsid w:val="00AC4850"/>
    <w:rsid w:val="00AD673A"/>
    <w:rsid w:val="00AD6A3B"/>
    <w:rsid w:val="00AD7064"/>
    <w:rsid w:val="00AE318E"/>
    <w:rsid w:val="00AE6D79"/>
    <w:rsid w:val="00AF4A66"/>
    <w:rsid w:val="00B02665"/>
    <w:rsid w:val="00B03973"/>
    <w:rsid w:val="00B061C7"/>
    <w:rsid w:val="00B06F37"/>
    <w:rsid w:val="00B13D20"/>
    <w:rsid w:val="00B1750F"/>
    <w:rsid w:val="00B22EA1"/>
    <w:rsid w:val="00B23ACB"/>
    <w:rsid w:val="00B33CDB"/>
    <w:rsid w:val="00B35285"/>
    <w:rsid w:val="00B47B59"/>
    <w:rsid w:val="00B53F81"/>
    <w:rsid w:val="00B56C2B"/>
    <w:rsid w:val="00B577FF"/>
    <w:rsid w:val="00B61E85"/>
    <w:rsid w:val="00B65BD3"/>
    <w:rsid w:val="00B70469"/>
    <w:rsid w:val="00B72427"/>
    <w:rsid w:val="00B72DD8"/>
    <w:rsid w:val="00B72E09"/>
    <w:rsid w:val="00B72E6B"/>
    <w:rsid w:val="00B776EB"/>
    <w:rsid w:val="00B8187A"/>
    <w:rsid w:val="00B83BD5"/>
    <w:rsid w:val="00B84DB1"/>
    <w:rsid w:val="00B9169E"/>
    <w:rsid w:val="00BA2ACB"/>
    <w:rsid w:val="00BA47F3"/>
    <w:rsid w:val="00BA5F06"/>
    <w:rsid w:val="00BE582C"/>
    <w:rsid w:val="00BF032A"/>
    <w:rsid w:val="00BF0C69"/>
    <w:rsid w:val="00BF17B6"/>
    <w:rsid w:val="00BF44D5"/>
    <w:rsid w:val="00BF4F00"/>
    <w:rsid w:val="00BF629B"/>
    <w:rsid w:val="00BF655C"/>
    <w:rsid w:val="00C075EF"/>
    <w:rsid w:val="00C11E83"/>
    <w:rsid w:val="00C1792E"/>
    <w:rsid w:val="00C20663"/>
    <w:rsid w:val="00C2378A"/>
    <w:rsid w:val="00C25359"/>
    <w:rsid w:val="00C345BF"/>
    <w:rsid w:val="00C378A1"/>
    <w:rsid w:val="00C422AC"/>
    <w:rsid w:val="00C57B53"/>
    <w:rsid w:val="00C621D6"/>
    <w:rsid w:val="00C82D86"/>
    <w:rsid w:val="00C8348F"/>
    <w:rsid w:val="00C87B42"/>
    <w:rsid w:val="00C946BD"/>
    <w:rsid w:val="00CA58F3"/>
    <w:rsid w:val="00CB46B7"/>
    <w:rsid w:val="00CB4B8D"/>
    <w:rsid w:val="00CC0DDA"/>
    <w:rsid w:val="00CC1AAA"/>
    <w:rsid w:val="00CC40B1"/>
    <w:rsid w:val="00CC555A"/>
    <w:rsid w:val="00CC5905"/>
    <w:rsid w:val="00CC702F"/>
    <w:rsid w:val="00CD0FE9"/>
    <w:rsid w:val="00CD1557"/>
    <w:rsid w:val="00CD3DEE"/>
    <w:rsid w:val="00CD684F"/>
    <w:rsid w:val="00CE562F"/>
    <w:rsid w:val="00CF0750"/>
    <w:rsid w:val="00CF1A0F"/>
    <w:rsid w:val="00CF4A77"/>
    <w:rsid w:val="00D06623"/>
    <w:rsid w:val="00D11016"/>
    <w:rsid w:val="00D12413"/>
    <w:rsid w:val="00D14C6B"/>
    <w:rsid w:val="00D1676B"/>
    <w:rsid w:val="00D20E23"/>
    <w:rsid w:val="00D33369"/>
    <w:rsid w:val="00D45936"/>
    <w:rsid w:val="00D53FE1"/>
    <w:rsid w:val="00D5536F"/>
    <w:rsid w:val="00D56935"/>
    <w:rsid w:val="00D61026"/>
    <w:rsid w:val="00D64D40"/>
    <w:rsid w:val="00D758C6"/>
    <w:rsid w:val="00D8375F"/>
    <w:rsid w:val="00D83BA9"/>
    <w:rsid w:val="00D84E6C"/>
    <w:rsid w:val="00D86348"/>
    <w:rsid w:val="00D87EC6"/>
    <w:rsid w:val="00D90C10"/>
    <w:rsid w:val="00D91126"/>
    <w:rsid w:val="00D92E96"/>
    <w:rsid w:val="00D95C44"/>
    <w:rsid w:val="00DA258C"/>
    <w:rsid w:val="00DB18FB"/>
    <w:rsid w:val="00DB267A"/>
    <w:rsid w:val="00DB4BFD"/>
    <w:rsid w:val="00DB4CF1"/>
    <w:rsid w:val="00DB62DA"/>
    <w:rsid w:val="00DB6F49"/>
    <w:rsid w:val="00DC0F1F"/>
    <w:rsid w:val="00DC5A62"/>
    <w:rsid w:val="00DC7CD8"/>
    <w:rsid w:val="00DD127A"/>
    <w:rsid w:val="00DD28EE"/>
    <w:rsid w:val="00DD354C"/>
    <w:rsid w:val="00DD358D"/>
    <w:rsid w:val="00DE07FA"/>
    <w:rsid w:val="00DE659D"/>
    <w:rsid w:val="00DF2DDE"/>
    <w:rsid w:val="00DF30C3"/>
    <w:rsid w:val="00DF5898"/>
    <w:rsid w:val="00E0126E"/>
    <w:rsid w:val="00E01667"/>
    <w:rsid w:val="00E03428"/>
    <w:rsid w:val="00E12D72"/>
    <w:rsid w:val="00E163DE"/>
    <w:rsid w:val="00E27BC9"/>
    <w:rsid w:val="00E307A4"/>
    <w:rsid w:val="00E36209"/>
    <w:rsid w:val="00E370A1"/>
    <w:rsid w:val="00E420BB"/>
    <w:rsid w:val="00E43DC7"/>
    <w:rsid w:val="00E50DF6"/>
    <w:rsid w:val="00E51473"/>
    <w:rsid w:val="00E54A0B"/>
    <w:rsid w:val="00E6252C"/>
    <w:rsid w:val="00E655C0"/>
    <w:rsid w:val="00E7125E"/>
    <w:rsid w:val="00E734FC"/>
    <w:rsid w:val="00E77C5D"/>
    <w:rsid w:val="00E8114B"/>
    <w:rsid w:val="00E85617"/>
    <w:rsid w:val="00E86290"/>
    <w:rsid w:val="00E9119A"/>
    <w:rsid w:val="00E9468B"/>
    <w:rsid w:val="00E965C5"/>
    <w:rsid w:val="00E96A3A"/>
    <w:rsid w:val="00E97402"/>
    <w:rsid w:val="00E97B99"/>
    <w:rsid w:val="00EA2014"/>
    <w:rsid w:val="00EA364E"/>
    <w:rsid w:val="00EA5F95"/>
    <w:rsid w:val="00EB2E9D"/>
    <w:rsid w:val="00EC60C8"/>
    <w:rsid w:val="00EC733D"/>
    <w:rsid w:val="00ED110C"/>
    <w:rsid w:val="00ED21A5"/>
    <w:rsid w:val="00EE6FFC"/>
    <w:rsid w:val="00EF10AC"/>
    <w:rsid w:val="00EF3D76"/>
    <w:rsid w:val="00EF4701"/>
    <w:rsid w:val="00EF564E"/>
    <w:rsid w:val="00F03A39"/>
    <w:rsid w:val="00F0443D"/>
    <w:rsid w:val="00F05659"/>
    <w:rsid w:val="00F06CF0"/>
    <w:rsid w:val="00F201D4"/>
    <w:rsid w:val="00F22198"/>
    <w:rsid w:val="00F221C4"/>
    <w:rsid w:val="00F33D49"/>
    <w:rsid w:val="00F341B8"/>
    <w:rsid w:val="00F3481E"/>
    <w:rsid w:val="00F352DD"/>
    <w:rsid w:val="00F471AC"/>
    <w:rsid w:val="00F47A0B"/>
    <w:rsid w:val="00F50957"/>
    <w:rsid w:val="00F529B2"/>
    <w:rsid w:val="00F55E6A"/>
    <w:rsid w:val="00F5702B"/>
    <w:rsid w:val="00F577F6"/>
    <w:rsid w:val="00F65266"/>
    <w:rsid w:val="00F70911"/>
    <w:rsid w:val="00F72301"/>
    <w:rsid w:val="00F728DA"/>
    <w:rsid w:val="00F751B1"/>
    <w:rsid w:val="00F751E1"/>
    <w:rsid w:val="00F8132F"/>
    <w:rsid w:val="00F835F1"/>
    <w:rsid w:val="00F9280A"/>
    <w:rsid w:val="00F97C99"/>
    <w:rsid w:val="00FA2021"/>
    <w:rsid w:val="00FA3D7A"/>
    <w:rsid w:val="00FA3DA8"/>
    <w:rsid w:val="00FA511A"/>
    <w:rsid w:val="00FA77DB"/>
    <w:rsid w:val="00FA7965"/>
    <w:rsid w:val="00FB21E2"/>
    <w:rsid w:val="00FC1D0C"/>
    <w:rsid w:val="00FC48D5"/>
    <w:rsid w:val="00FC514A"/>
    <w:rsid w:val="00FC5D7B"/>
    <w:rsid w:val="00FD347F"/>
    <w:rsid w:val="00FE12A8"/>
    <w:rsid w:val="00FF1646"/>
    <w:rsid w:val="00FF5579"/>
    <w:rsid w:val="00FF65A2"/>
    <w:rsid w:val="00FF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white"/>
    </o:shapedefaults>
    <o:shapelayout v:ext="edit">
      <o:idmap v:ext="edit" data="1"/>
    </o:shapelayout>
  </w:shapeDefaults>
  <w:decimalSymbol w:val="."/>
  <w:listSeparator w:val=","/>
  <w14:docId w14:val="76FB07F4"/>
  <w15:docId w15:val="{0E962645-BE6B-C144-95C3-1161517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4824"/>
  </w:style>
  <w:style w:type="paragraph" w:styleId="Heading1">
    <w:name w:val="heading 1"/>
    <w:basedOn w:val="Normal"/>
    <w:next w:val="Normal"/>
    <w:link w:val="Heading1Char"/>
    <w:uiPriority w:val="9"/>
    <w:qFormat/>
    <w:rsid w:val="00214824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4824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rsid w:val="00214824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rsid w:val="00214824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rsid w:val="00214824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rsid w:val="00214824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rsid w:val="00214824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rsid w:val="00214824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rsid w:val="00214824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21482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21482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214824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21482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rsid w:val="00214824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214824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214824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21482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214824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214824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21482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214824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214824"/>
    <w:pPr>
      <w:numPr>
        <w:numId w:val="0"/>
      </w:numPr>
    </w:pPr>
  </w:style>
  <w:style w:type="paragraph" w:styleId="Header">
    <w:name w:val="header"/>
    <w:basedOn w:val="Normal"/>
    <w:rsid w:val="00214824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214824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214824"/>
    <w:rPr>
      <w:color w:val="0000FF"/>
      <w:u w:val="single"/>
    </w:rPr>
  </w:style>
  <w:style w:type="character" w:styleId="FollowedHyperlink">
    <w:name w:val="FollowedHyperlink"/>
    <w:basedOn w:val="DefaultParagraphFont"/>
    <w:rsid w:val="0021482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214824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17C7"/>
    <w:rPr>
      <w:color w:val="605E5C"/>
      <w:shd w:val="clear" w:color="auto" w:fill="E1DFDD"/>
    </w:rPr>
  </w:style>
  <w:style w:type="table" w:styleId="TableGrid">
    <w:name w:val="Table Grid"/>
    <w:basedOn w:val="TableNormal"/>
    <w:rsid w:val="004B4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A5F0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BB7634D-2037-416F-AE1C-9FFF1A8A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11</Pages>
  <Words>3326</Words>
  <Characters>18963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22245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Javier Saldana</cp:lastModifiedBy>
  <cp:revision>481</cp:revision>
  <cp:lastPrinted>2012-08-02T18:53:00Z</cp:lastPrinted>
  <dcterms:created xsi:type="dcterms:W3CDTF">2012-11-21T16:14:00Z</dcterms:created>
  <dcterms:modified xsi:type="dcterms:W3CDTF">2019-02-22T00:40:00Z</dcterms:modified>
</cp:coreProperties>
</file>