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75787B"/>
          <w:spacing w:val="40"/>
          <w:sz w:val="28"/>
          <w:szCs w:val="28"/>
        </w:rPr>
        <w:t xml:space="preserve">PRINTEMPS</w:t>
      </w:r>
    </w:p>
    <w:p>
      <w:pPr>
        <w:pBdr>
          <w:bottom w:val="single" w:color="B8860B" w:sz="12" w:space="8"/>
        </w:pBdr>
        <w:spacing w:after="200" w:before="200"/>
      </w:pPr>
      <w:r>
        <w:rPr>
          <w:sz w:val="4"/>
          <w:szCs w:val="4"/>
        </w:rPr>
        <w:t xml:space="preserve"> </w:t>
      </w:r>
    </w:p>
    <w:p>
      <w:pPr>
        <w:spacing w:before="400"/>
      </w:pPr>
      <w:r>
        <w:rPr>
          <w:b/>
          <w:bCs/>
          <w:color w:val="00874C"/>
          <w:sz w:val="56"/>
          <w:szCs w:val="56"/>
        </w:rPr>
        <w:t xml:space="preserve">Générateur de contrats fournisseurs</w:t>
      </w:r>
    </w:p>
    <w:p>
      <w:pPr>
        <w:spacing w:after="800" w:before="200"/>
      </w:pPr>
      <w:r>
        <w:rPr>
          <w:color w:val="000000"/>
          <w:sz w:val="28"/>
          <w:szCs w:val="28"/>
        </w:rPr>
        <w:t xml:space="preserve">Cahier des charges</w:t>
      </w:r>
    </w:p>
    <w:p>
      <w:pPr>
        <w:spacing w:after="80"/>
      </w:pPr>
      <w:r>
        <w:rPr>
          <w:b/>
          <w:bCs/>
          <w:color w:val="75787B"/>
          <w:sz w:val="22"/>
          <w:szCs w:val="22"/>
        </w:rPr>
        <w:t xml:space="preserve">Application : </w:t>
      </w:r>
      <w:r>
        <w:rPr>
          <w:color w:val="000000"/>
          <w:sz w:val="22"/>
          <w:szCs w:val="22"/>
        </w:rPr>
        <w:t xml:space="preserve">Achats — Contrats fournisseurs</w:t>
      </w:r>
    </w:p>
    <w:p>
      <w:pPr>
        <w:spacing w:after="80"/>
      </w:pPr>
      <w:r>
        <w:rPr>
          <w:b/>
          <w:bCs/>
          <w:color w:val="75787B"/>
          <w:sz w:val="22"/>
          <w:szCs w:val="22"/>
        </w:rPr>
        <w:t xml:space="preserve">Direction concernée : </w:t>
      </w:r>
      <w:r>
        <w:rPr>
          <w:color w:val="000000"/>
          <w:sz w:val="22"/>
          <w:szCs w:val="22"/>
        </w:rPr>
        <w:t xml:space="preserve">Direction des Achats — Printemps</w:t>
      </w:r>
    </w:p>
    <w:p>
      <w:pPr>
        <w:spacing w:after="80"/>
      </w:pPr>
      <w:r>
        <w:rPr>
          <w:b/>
          <w:bCs/>
          <w:color w:val="75787B"/>
          <w:sz w:val="22"/>
          <w:szCs w:val="22"/>
        </w:rPr>
        <w:t xml:space="preserve">Version du document : </w:t>
      </w:r>
      <w:r>
        <w:rPr>
          <w:color w:val="000000"/>
          <w:sz w:val="22"/>
          <w:szCs w:val="22"/>
        </w:rPr>
        <w:t xml:space="preserve">1.0</w:t>
      </w:r>
    </w:p>
    <w:p>
      <w:pPr>
        <w:spacing w:after="80"/>
      </w:pPr>
      <w:r>
        <w:rPr>
          <w:b/>
          <w:bCs/>
          <w:color w:val="75787B"/>
          <w:sz w:val="22"/>
          <w:szCs w:val="22"/>
        </w:rPr>
        <w:t xml:space="preserve">Statut : </w:t>
      </w:r>
      <w:r>
        <w:rPr>
          <w:color w:val="000000"/>
          <w:sz w:val="22"/>
          <w:szCs w:val="22"/>
        </w:rPr>
        <w:t xml:space="preserve">Application existante — document de référence du périmètre livré</w:t>
      </w:r>
    </w:p>
    <w:p>
      <w:r>
        <w:br w:type="page"/>
      </w:r>
    </w:p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1. Contexte et objectifs</w:t>
      </w:r>
    </w:p>
    <w:p>
      <w:pPr>
        <w:pStyle w:val="Heading2"/>
        <w:spacing w:after="160" w:before="360"/>
      </w:pPr>
      <w:r>
        <w:rPr>
          <w:b/>
          <w:bCs/>
          <w:color w:val="000000"/>
          <w:sz w:val="26"/>
          <w:szCs w:val="26"/>
        </w:rPr>
        <w:t xml:space="preserve">1.1. Contexte</w:t>
      </w:r>
    </w:p>
    <w:p>
      <w:pPr>
        <w:spacing w:after="160"/>
      </w:pPr>
      <w:r>
        <w:rPr>
          <w:color w:val="000000"/>
          <w:sz w:val="21"/>
          <w:szCs w:val="21"/>
        </w:rPr>
        <w:t xml:space="preserve">La Direction des Achats négocie, pour chaque fournisseur/code sous-segment, des conditions commerciales consignées dans un fichier Excel de référence, mis à jour périodiquement. Les contrats correspondants sont rédigés à partir de templates Word contenant des champs à compléter manuellement à partir de ce fichier — une opération répétitive et sujette à erreur (champ oublié, valeur mal recopiée, incohérence entre le contrat et le fichier de référence au moment de la génération).</w:t>
      </w:r>
    </w:p>
    <w:p>
      <w:pPr>
        <w:pStyle w:val="Heading2"/>
        <w:spacing w:after="160" w:before="360"/>
      </w:pPr>
      <w:r>
        <w:rPr>
          <w:b/>
          <w:bCs/>
          <w:color w:val="000000"/>
          <w:sz w:val="26"/>
          <w:szCs w:val="26"/>
        </w:rPr>
        <w:t xml:space="preserve">1.2. Objectifs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Historiser les fichiers de conditions commerciales et les templates de contrat, sans jamais écraser une version antérieure.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Fiabiliser le remplissage des contrats en automatisant la reprise des valeurs depuis le fichier de conditions, plutôt que par recopie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Détecter et empêcher la génération d'un contrat lorsque la correspondance entre le template et le fichier de conditions est incomplète ou devenue invalide.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Conserver une traçabilité de chaque contrat produit (quel template, quel fichier de conditions, quel code, par qui, quand).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Fournir une application autonome, installable sans compétence informatique particulière sur un poste Windows, sans dépendance à un service externe.</w:t>
      </w:r>
    </w:p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2. Périmètre fonctionnel</w:t>
      </w:r>
    </w:p>
    <w:p>
      <w:pPr>
        <w:pStyle w:val="Heading2"/>
        <w:spacing w:after="160" w:before="360"/>
      </w:pPr>
      <w:r>
        <w:rPr>
          <w:b/>
          <w:bCs/>
          <w:color w:val="000000"/>
          <w:sz w:val="26"/>
          <w:szCs w:val="26"/>
        </w:rPr>
        <w:t xml:space="preserve">2.1. Modules livrés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1"/>
          <w:szCs w:val="21"/>
        </w:rPr>
        <w:t xml:space="preserve">Conditions commerciales</w:t>
      </w:r>
      <w:r>
        <w:rPr>
          <w:sz w:val="21"/>
          <w:szCs w:val="21"/>
        </w:rPr>
        <w:t xml:space="preserve"> — dépôt, historisation et activation des fichiers Excel de conditions fournisseurs.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1"/>
          <w:szCs w:val="21"/>
        </w:rPr>
        <w:t xml:space="preserve">Templates de contrats</w:t>
      </w:r>
      <w:r>
        <w:rPr>
          <w:sz w:val="21"/>
          <w:szCs w:val="21"/>
        </w:rPr>
        <w:t xml:space="preserve"> — dépôt et versionnement des modèles Word, mise en correspondance de leurs variables avec les colonnes du fichier de conditions.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1"/>
          <w:szCs w:val="21"/>
        </w:rPr>
        <w:t xml:space="preserve">Génération de contrat</w:t>
      </w:r>
      <w:r>
        <w:rPr>
          <w:sz w:val="21"/>
          <w:szCs w:val="21"/>
        </w:rPr>
        <w:t xml:space="preserve"> — recherche d'un code sous-segment, pré-remplissage, relecture/correction, production du document final et journalisation.</w:t>
      </w:r>
    </w:p>
    <w:p>
      <w:pPr>
        <w:pStyle w:val="Heading2"/>
        <w:spacing w:after="160" w:before="360"/>
      </w:pPr>
      <w:r>
        <w:rPr>
          <w:b/>
          <w:bCs/>
          <w:color w:val="000000"/>
          <w:sz w:val="26"/>
          <w:szCs w:val="26"/>
        </w:rPr>
        <w:t xml:space="preserve">2.2. Hors périmètre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Gestion des utilisateurs, authentification, droits d'accès différenciés.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Signature électronique ou circuit de validation du contrat généré.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Envoi automatique du contrat par e-mail ou dépôt vers un espace partagé (SharePoint, etc.).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Génération de documents autres que Word (.docx) : formulaires PDF, exports PowerPoint, etc.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Accès multi-postes simultané avec synchronisation temps réel des données entre plusieurs instances de l'application.</w:t>
      </w:r>
    </w:p>
    <w:p>
      <w:pPr>
        <w:pBdr>
          <w:left w:val="single" w:color="75787B" w:sz="12" w:space="8"/>
        </w:pBdr>
        <w:spacing w:after="200"/>
        <w:ind w:left="240"/>
      </w:pPr>
      <w:r>
        <w:rPr>
          <w:b/>
          <w:bCs/>
          <w:i/>
          <w:iCs/>
          <w:color w:val="75787B"/>
          <w:sz w:val="20"/>
          <w:szCs w:val="20"/>
        </w:rPr>
        <w:t xml:space="preserve">Note — </w:t>
      </w:r>
      <w:r>
        <w:rPr>
          <w:i/>
          <w:iCs/>
          <w:color w:val="000000"/>
          <w:sz w:val="20"/>
          <w:szCs w:val="20"/>
        </w:rPr>
        <w:t xml:space="preserve">Ce périmètre correspond à l'application telle que livrée. Toute évolution vers l'un des points ci-dessus constitue une nouvelle demande, à cadrer séparément (impact potentiel sur l'architecture — voir les spécifications techniques, notamment l'absence d'authentification et la persistance par fichiers JSON).</w:t>
      </w:r>
    </w:p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3. Exigences fonctionnelles</w:t>
      </w:r>
    </w:p>
    <w:p>
      <w:pPr>
        <w:pStyle w:val="Heading2"/>
        <w:spacing w:after="160" w:before="360"/>
      </w:pPr>
      <w:r>
        <w:rPr>
          <w:b/>
          <w:bCs/>
          <w:color w:val="000000"/>
          <w:sz w:val="26"/>
          <w:szCs w:val="26"/>
        </w:rPr>
        <w:t xml:space="preserve">3.1. Conditions commerciales</w:t>
      </w:r>
    </w:p>
    <w:tbl>
      <w:tblPr>
        <w:tblW w:type="dxa" w:w="10000"/>
        <w:tblBorders>
          <w:top w:val="single" w:color="DDE1E6" w:sz="4"/>
          <w:left w:val="single" w:color="DDE1E6" w:sz="4"/>
          <w:bottom w:val="single" w:color="DDE1E6" w:sz="4"/>
          <w:right w:val="single" w:color="DDE1E6" w:sz="4"/>
          <w:insideH w:val="single" w:color="DDE1E6" w:sz="4"/>
          <w:insideV w:val="single" w:color="DDE1E6" w:sz="4"/>
        </w:tblBorders>
      </w:tblPr>
      <w:tblGrid>
        <w:gridCol w:w="1400"/>
        <w:gridCol w:w="8600"/>
      </w:tblGrid>
      <w:tr>
        <w:trPr>
          <w:tblHeader/>
        </w:trPr>
        <w:tc>
          <w:tcPr>
            <w:tcW w:type="dxa" w:w="14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Réf.</w:t>
            </w:r>
          </w:p>
        </w:tc>
        <w:tc>
          <w:tcPr>
            <w:tcW w:type="dxa" w:w="86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Exigence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EF-01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Déposer un fichier Excel (.xlsx) de conditions commerciales ; chaque dépôt crée une nouvelle version, aucune n'est jamais écrasée.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EF-02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Lire automatiquement les en-têtes de colonnes et le nombre de lignes de données ; signaler les lignes vides.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EF-03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Détecter automatiquement, ou permettre de désigner manuellement, la colonne servant de « code sous-segment ».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EF-04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Détecter les codes sous-segment dupliqués au sein d'un même fichier et en avertir l'utilisateur au dépôt.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EF-05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Désigner une unique version comme « active » (utilisée par défaut pour la génération), avec bascule explicite d'une version à l'autre.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EF-06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Archiver une version (la masquer de la liste courante sans la supprimer) ; une version active ne peut être archivée directement.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EF-07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Permettre le téléchargement du fichier original de chaque version historisée.</w:t>
            </w:r>
          </w:p>
        </w:tc>
      </w:tr>
    </w:tbl>
    <w:p>
      <w:pPr>
        <w:pStyle w:val="Heading2"/>
        <w:spacing w:after="160" w:before="360"/>
      </w:pPr>
      <w:r>
        <w:rPr>
          <w:b/>
          <w:bCs/>
          <w:color w:val="000000"/>
          <w:sz w:val="26"/>
          <w:szCs w:val="26"/>
        </w:rPr>
        <w:t xml:space="preserve">3.2. Templates de contrats</w:t>
      </w:r>
    </w:p>
    <w:tbl>
      <w:tblPr>
        <w:tblW w:type="dxa" w:w="10000"/>
        <w:tblBorders>
          <w:top w:val="single" w:color="DDE1E6" w:sz="4"/>
          <w:left w:val="single" w:color="DDE1E6" w:sz="4"/>
          <w:bottom w:val="single" w:color="DDE1E6" w:sz="4"/>
          <w:right w:val="single" w:color="DDE1E6" w:sz="4"/>
          <w:insideH w:val="single" w:color="DDE1E6" w:sz="4"/>
          <w:insideV w:val="single" w:color="DDE1E6" w:sz="4"/>
        </w:tblBorders>
      </w:tblPr>
      <w:tblGrid>
        <w:gridCol w:w="1400"/>
        <w:gridCol w:w="8600"/>
      </w:tblGrid>
      <w:tr>
        <w:trPr>
          <w:tblHeader/>
        </w:trPr>
        <w:tc>
          <w:tcPr>
            <w:tcW w:type="dxa" w:w="14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Réf.</w:t>
            </w:r>
          </w:p>
        </w:tc>
        <w:tc>
          <w:tcPr>
            <w:tcW w:type="dxa" w:w="86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Exigence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EF-10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Déposer un template Word (.docx) contenant des variables au format {{Nom de variable}} ; extraction automatique de la liste des variables.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EF-11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Verser un nouveau dépôt du même template comme une nouvelle version numérotée, en conservant l'historique des versions précédentes.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EF-12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Associer chaque variable du template à une colonne du fichier de conditions commerciales (mapping), ou la marquer explicitement comme « saisie libre ».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EF-13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Permettre de choisir, pour construire le mapping, un fichier de conditions de référence différent de la version active.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EF-14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Exporter un fichier Excel de correspondance (vierge ou pré-rempli) facilitant la saisie du mapping en masse, avec liste de validation des colonnes disponibles.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EF-15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Importer ce fichier de correspondance rempli, avec détection et signalement des incohérences (variable inconnue, colonne inexistante, colonne utilisée plusieurs fois) avant toute application.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EF-16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Afficher un statut de synthèse du mapping (complet / incomplet / absent) pour chaque template.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EF-17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Détecter qu'une variable mappée pointe vers une colonne qui n'existe plus dans le fichier de conditions actif, et le refléter dans le statut du mapping (ne pas rester faussement « complet »).</w:t>
            </w:r>
          </w:p>
        </w:tc>
      </w:tr>
    </w:tbl>
    <w:p>
      <w:pPr>
        <w:pStyle w:val="Heading2"/>
        <w:spacing w:after="160" w:before="360"/>
      </w:pPr>
      <w:r>
        <w:rPr>
          <w:b/>
          <w:bCs/>
          <w:color w:val="000000"/>
          <w:sz w:val="26"/>
          <w:szCs w:val="26"/>
        </w:rPr>
        <w:t xml:space="preserve">3.3. Génération de contrat</w:t>
      </w:r>
    </w:p>
    <w:tbl>
      <w:tblPr>
        <w:tblW w:type="dxa" w:w="10000"/>
        <w:tblBorders>
          <w:top w:val="single" w:color="DDE1E6" w:sz="4"/>
          <w:left w:val="single" w:color="DDE1E6" w:sz="4"/>
          <w:bottom w:val="single" w:color="DDE1E6" w:sz="4"/>
          <w:right w:val="single" w:color="DDE1E6" w:sz="4"/>
          <w:insideH w:val="single" w:color="DDE1E6" w:sz="4"/>
          <w:insideV w:val="single" w:color="DDE1E6" w:sz="4"/>
        </w:tblBorders>
      </w:tblPr>
      <w:tblGrid>
        <w:gridCol w:w="1400"/>
        <w:gridCol w:w="8600"/>
      </w:tblGrid>
      <w:tr>
        <w:trPr>
          <w:tblHeader/>
        </w:trPr>
        <w:tc>
          <w:tcPr>
            <w:tcW w:type="dxa" w:w="14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Réf.</w:t>
            </w:r>
          </w:p>
        </w:tc>
        <w:tc>
          <w:tcPr>
            <w:tcW w:type="dxa" w:w="86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Exigence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EF-20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 proposer pour la génération que les templates dont le mapping est complet ; afficher néanmoins les templates au mapping incomplet, avec la raison, plutôt que de les rendre invisibles.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EF-21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Rechercher les lignes du fichier de conditions correspondant à un code sous-segment donné ; permettre de choisir la ligne si plusieurs correspondent.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EF-22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Pré-remplir un formulaire à partir de la ligne choisie et du mapping du template, chaque champ restant modifiable avant génération.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EF-23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Avertir explicitement lorsqu'une variable mappée ne trouve pas sa colonne dans le fichier de conditions choisi pour cette génération précise, plutôt que de laisser un champ vide sans explication.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EF-24</w:t>
            </w:r>
          </w:p>
        </w:tc>
        <w:tc>
          <w:tcPr>
            <w:tcW w:type="dxa" w:w="8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Produire le document Word final avec la mise en forme du template intégralement préservée.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EF-25</w:t>
            </w:r>
          </w:p>
        </w:tc>
        <w:tc>
          <w:tcPr>
            <w:tcW w:type="dxa" w:w="8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Enregistrer chaque génération dans un journal (template, fichier de conditions, code recherché, date, auteur) consultable dans l'application.</w:t>
            </w:r>
          </w:p>
        </w:tc>
      </w:tr>
    </w:tbl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4. Exigences non fonctionnelles</w:t>
      </w:r>
    </w:p>
    <w:tbl>
      <w:tblPr>
        <w:tblW w:type="dxa" w:w="10000"/>
        <w:tblBorders>
          <w:top w:val="single" w:color="DDE1E6" w:sz="4"/>
          <w:left w:val="single" w:color="DDE1E6" w:sz="4"/>
          <w:bottom w:val="single" w:color="DDE1E6" w:sz="4"/>
          <w:right w:val="single" w:color="DDE1E6" w:sz="4"/>
          <w:insideH w:val="single" w:color="DDE1E6" w:sz="4"/>
          <w:insideV w:val="single" w:color="DDE1E6" w:sz="4"/>
        </w:tblBorders>
      </w:tblPr>
      <w:tblGrid>
        <w:gridCol w:w="1400"/>
        <w:gridCol w:w="2400"/>
        <w:gridCol w:w="6200"/>
      </w:tblGrid>
      <w:tr>
        <w:trPr>
          <w:tblHeader/>
        </w:trPr>
        <w:tc>
          <w:tcPr>
            <w:tcW w:type="dxa" w:w="14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Réf.</w:t>
            </w:r>
          </w:p>
        </w:tc>
        <w:tc>
          <w:tcPr>
            <w:tcW w:type="dxa" w:w="24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Catégorie</w:t>
            </w:r>
          </w:p>
        </w:tc>
        <w:tc>
          <w:tcPr>
            <w:tcW w:type="dxa" w:w="62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Exigence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ENF-01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Déploiement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Fonctionner comme exécutable Windows autonome, sans installation de Node.js ni d'aucun autre outil sur le poste cible.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ENF-02</w:t>
            </w:r>
          </w:p>
        </w:tc>
        <w:tc>
          <w:tcPr>
            <w:tcW w:type="dxa" w:w="2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Portabilité</w:t>
            </w:r>
          </w:p>
        </w:tc>
        <w:tc>
          <w:tcPr>
            <w:tcW w:type="dxa" w:w="62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Aucune dépendance native (base de données, module compilé) qui empêcherait l'empaquetage en exécutable autonome.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ENF-03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Intégrité des données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Aucun dépôt (fichier de conditions ou template) n'écrase un dépôt antérieur : l'historique complet reste consultable.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ENF-04</w:t>
            </w:r>
          </w:p>
        </w:tc>
        <w:tc>
          <w:tcPr>
            <w:tcW w:type="dxa" w:w="2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Fiabilité de la génération</w:t>
            </w:r>
          </w:p>
        </w:tc>
        <w:tc>
          <w:tcPr>
            <w:tcW w:type="dxa" w:w="62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 jamais produire silencieusement un contrat avec une valeur manquante sans avertissement visible à l'écran.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ENF-05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Ergonomie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Parcours en trois étapes numérotées et explicites (conditions → templates → génération), navigation latérale permanente.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ENF-06</w:t>
            </w:r>
          </w:p>
        </w:tc>
        <w:tc>
          <w:tcPr>
            <w:tcW w:type="dxa" w:w="2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Identité visuelle</w:t>
            </w:r>
          </w:p>
        </w:tc>
        <w:tc>
          <w:tcPr>
            <w:tcW w:type="dxa" w:w="62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conforme à la charte graphique Printemps (couleurs, à l'exclusion des exigences d'accessibilité de contraste texte/fond, qui prévalent lorsque la charte brute y ferait obstacle).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ENF-07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Prise en main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Démarrage en un double-clic, sans commande à taper ; ouverture automatique du navigateur sur l'application.</w:t>
            </w:r>
          </w:p>
        </w:tc>
      </w:tr>
      <w:tr>
        <w:tc>
          <w:tcPr>
            <w:tcW w:type="dxa" w:w="1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ENF-08</w:t>
            </w:r>
          </w:p>
        </w:tc>
        <w:tc>
          <w:tcPr>
            <w:tcW w:type="dxa" w:w="2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Localisation</w:t>
            </w:r>
          </w:p>
        </w:tc>
        <w:tc>
          <w:tcPr>
            <w:tcW w:type="dxa" w:w="62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et messages entièrement en français.</w:t>
            </w:r>
          </w:p>
        </w:tc>
      </w:tr>
    </w:tbl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5. Contraintes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Poste cible : Windows, sans droits d'installation présumés disponibles (exécutable portable, pas de setup.exe).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Aucun compte ni mot de passe à gérer : l'application est destinée à un usage interne de confiance, sur un poste maîtrisé.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Le fichier de conditions commerciales doit présenter ses en-têtes de colonnes sur la première ligne de la première feuille du classeur.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Les templates de contrat doivent être au format .docx, avec les emplacements à remplir balisés {{Nom de variable}}.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Aucune connexion réseau externe requise pour fonctionner (usage entièrement local).</w:t>
      </w:r>
    </w:p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6. Livrables</w:t>
      </w:r>
    </w:p>
    <w:tbl>
      <w:tblPr>
        <w:tblW w:type="dxa" w:w="10000"/>
        <w:tblBorders>
          <w:top w:val="single" w:color="DDE1E6" w:sz="4"/>
          <w:left w:val="single" w:color="DDE1E6" w:sz="4"/>
          <w:bottom w:val="single" w:color="DDE1E6" w:sz="4"/>
          <w:right w:val="single" w:color="DDE1E6" w:sz="4"/>
          <w:insideH w:val="single" w:color="DDE1E6" w:sz="4"/>
          <w:insideV w:val="single" w:color="DDE1E6" w:sz="4"/>
        </w:tblBorders>
      </w:tblPr>
      <w:tblGrid>
        <w:gridCol w:w="2600"/>
        <w:gridCol w:w="7400"/>
      </w:tblGrid>
      <w:tr>
        <w:trPr>
          <w:tblHeader/>
        </w:trPr>
        <w:tc>
          <w:tcPr>
            <w:tcW w:type="dxa" w:w="26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Livrable</w:t>
            </w:r>
          </w:p>
        </w:tc>
        <w:tc>
          <w:tcPr>
            <w:tcW w:type="dxa" w:w="74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 source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Dépôt Git (sampts/achats), historisant l'ensemble des évolutions.</w:t>
            </w:r>
          </w:p>
        </w:tc>
      </w:tr>
      <w:tr>
        <w:tc>
          <w:tcPr>
            <w:tcW w:type="dxa" w:w="2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Exécutable Windows</w:t>
            </w:r>
          </w:p>
        </w:tc>
        <w:tc>
          <w:tcPr>
            <w:tcW w:type="dxa" w:w="7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AchatsContrats.exe + dossier public/ associé, prêts à distribuer.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Guide utilisateur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 d'emploi à destination de l'équipe Achats (document séparé).</w:t>
            </w:r>
          </w:p>
        </w:tc>
      </w:tr>
      <w:tr>
        <w:tc>
          <w:tcPr>
            <w:tcW w:type="dxa" w:w="2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Spécifications techniques</w:t>
            </w:r>
          </w:p>
        </w:tc>
        <w:tc>
          <w:tcPr>
            <w:tcW w:type="dxa" w:w="7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 de l'architecture, du modèle de données et des algorithmes clés, à destination des mainteneurs (document séparé).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Cahier des charges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 présent document, référence du périmètre fonctionnel et des exigences.</w:t>
            </w:r>
          </w:p>
        </w:tc>
      </w:tr>
    </w:tbl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7. Critères de recette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Un fichier de conditions déposé deux fois de suite crée bien deux versions distinctes, toutes deux consultables.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La désactivation/activation d'une version de conditions bascule correctement la version utilisée par la génération.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Un template dont une variable n'est ni mappée ni marquée « saisie libre » n'est pas proposé pour la génération, et le motif est visible.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Le renommage d'une colonne dans une nouvelle version du fichier de conditions fait bien passer le statut de mapping des templates concernés à « incomplet », avec le détail de la colonne introuvable.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Le document Word généré reprend fidèlement la mise en forme du template (styles, tableaux, en-têtes/pieds de page) sans altération visible.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Chaque génération de contrat apparaît dans le journal, avec les informations attendues (template, conditions, code, date, auteur).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000000"/>
          <w:sz w:val="21"/>
          <w:szCs w:val="21"/>
        </w:rPr>
        <w:t xml:space="preserve">L'exécutable démarre par un simple double-clic sur un poste Windows sans Node.js installé, et ouvre le navigateur automatiquement.</w:t>
      </w:r>
    </w:p>
    <w:p>
      <w:pPr>
        <w:pStyle w:val="Heading1"/>
        <w:pBdr>
          <w:bottom w:val="single" w:color="00874C" w:sz="8" w:space="4"/>
        </w:pBdr>
        <w:spacing w:after="240" w:before="480"/>
      </w:pPr>
      <w:r>
        <w:rPr>
          <w:b/>
          <w:bCs/>
          <w:color w:val="00874C"/>
          <w:sz w:val="32"/>
          <w:szCs w:val="32"/>
        </w:rPr>
        <w:t xml:space="preserve">8. Glossaire</w:t>
      </w:r>
    </w:p>
    <w:tbl>
      <w:tblPr>
        <w:tblW w:type="dxa" w:w="10000"/>
        <w:tblBorders>
          <w:top w:val="single" w:color="DDE1E6" w:sz="4"/>
          <w:left w:val="single" w:color="DDE1E6" w:sz="4"/>
          <w:bottom w:val="single" w:color="DDE1E6" w:sz="4"/>
          <w:right w:val="single" w:color="DDE1E6" w:sz="4"/>
          <w:insideH w:val="single" w:color="DDE1E6" w:sz="4"/>
          <w:insideV w:val="single" w:color="DDE1E6" w:sz="4"/>
        </w:tblBorders>
      </w:tblPr>
      <w:tblGrid>
        <w:gridCol w:w="2600"/>
        <w:gridCol w:w="7400"/>
      </w:tblGrid>
      <w:tr>
        <w:trPr>
          <w:tblHeader/>
        </w:trPr>
        <w:tc>
          <w:tcPr>
            <w:tcW w:type="dxa" w:w="26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Terme</w:t>
            </w:r>
          </w:p>
        </w:tc>
        <w:tc>
          <w:tcPr>
            <w:tcW w:type="dxa" w:w="7400"/>
            <w:shd w:fill="0087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Définition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Conditions commerciales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Ensemble des termes négociés avec un fournisseur pour un code sous-segment donné, consignés dans le fichier Excel de référence.</w:t>
            </w:r>
          </w:p>
        </w:tc>
      </w:tr>
      <w:tr>
        <w:tc>
          <w:tcPr>
            <w:tcW w:type="dxa" w:w="2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 sous-segment</w:t>
            </w:r>
          </w:p>
        </w:tc>
        <w:tc>
          <w:tcPr>
            <w:tcW w:type="dxa" w:w="7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Identifiant utilisé pour retrouver la ligne de conditions applicable à un fournisseur/une marque.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Template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Modèle de contrat Word contenant des variables à compléter.</w:t>
            </w:r>
          </w:p>
        </w:tc>
      </w:tr>
      <w:tr>
        <w:tc>
          <w:tcPr>
            <w:tcW w:type="dxa" w:w="2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Mapping</w:t>
            </w:r>
          </w:p>
        </w:tc>
        <w:tc>
          <w:tcPr>
            <w:tcW w:type="dxa" w:w="7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Correspondance entre les variables d'un template et les colonnes du fichier de conditions.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 active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version du fichier de conditions utilisée par défaut pour la génération.</w:t>
            </w:r>
          </w:p>
        </w:tc>
      </w:tr>
      <w:tr>
        <w:tc>
          <w:tcPr>
            <w:tcW w:type="dxa" w:w="26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Saisie libre</w:t>
            </w:r>
          </w:p>
        </w:tc>
        <w:tc>
          <w:tcPr>
            <w:tcW w:type="dxa" w:w="7400"/>
            <w:shd w:fill="F5F6F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 d'un template volontairement non reliée à une colonne, à renseigner manuellement à chaque génération.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5787B"/>
        <w:sz w:val="16"/>
        <w:szCs w:val="16"/>
      </w:rPr>
      <w:t xml:space="preserve">Générateur de contrats fournisseurs — page </w:t>
    </w:r>
    <w:r>
      <w:rPr>
        <w:color w:val="75787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5787B"/>
        <w:sz w:val="16"/>
        <w:szCs w:val="16"/>
      </w:rPr>
      <w:t xml:space="preserve"> / </w:t>
    </w:r>
    <w:r>
      <w:rPr>
        <w:color w:val="75787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1E6" w:sz="4" w:space="4"/>
      </w:pBdr>
      <w:jc w:val="right"/>
    </w:pPr>
    <w:r>
      <w:rPr>
        <w:b/>
        <w:bCs/>
        <w:color w:val="75787B"/>
        <w:sz w:val="16"/>
        <w:szCs w:val="16"/>
      </w:rPr>
      <w:t xml:space="preserve">PRINTEMPS</w:t>
    </w:r>
    <w:r>
      <w:rPr>
        <w:color w:val="75787B"/>
        <w:sz w:val="16"/>
        <w:szCs w:val="16"/>
      </w:rPr>
      <w:t xml:space="preserve">  ·  Cahier des charges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2026-08-12T13:07:49.204Z</dcterms:created>
  <dcterms:modified xsi:type="dcterms:W3CDTF">2026-08-12T13:07:49.204Z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