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75787B"/>
          <w:spacing w:val="40"/>
          <w:sz w:val="28"/>
          <w:szCs w:val="28"/>
        </w:rPr>
        <w:t xml:space="preserve">PRINTEMPS</w:t>
      </w:r>
    </w:p>
    <w:p>
      <w:pPr>
        <w:pBdr>
          <w:bottom w:val="single" w:color="B8860B" w:sz="12" w:space="8"/>
        </w:pBdr>
        <w:spacing w:after="200" w:before="200"/>
      </w:pPr>
      <w:r>
        <w:rPr>
          <w:sz w:val="4"/>
          <w:szCs w:val="4"/>
        </w:rPr>
        <w:t xml:space="preserve"> </w:t>
      </w:r>
    </w:p>
    <w:p>
      <w:pPr>
        <w:spacing w:before="400"/>
      </w:pPr>
      <w:r>
        <w:rPr>
          <w:b/>
          <w:bCs/>
          <w:color w:val="00874C"/>
          <w:sz w:val="56"/>
          <w:szCs w:val="56"/>
        </w:rPr>
        <w:t xml:space="preserve">Générateur de contrats fournisseurs</w:t>
      </w:r>
    </w:p>
    <w:p>
      <w:pPr>
        <w:spacing w:after="800" w:before="200"/>
      </w:pPr>
      <w:r>
        <w:rPr>
          <w:color w:val="000000"/>
          <w:sz w:val="28"/>
          <w:szCs w:val="28"/>
        </w:rPr>
        <w:t xml:space="preserve">Guide utilisateur</w:t>
      </w:r>
    </w:p>
    <w:p>
      <w:pPr>
        <w:spacing w:after="80"/>
      </w:pPr>
      <w:r>
        <w:rPr>
          <w:b/>
          <w:bCs/>
          <w:color w:val="75787B"/>
          <w:sz w:val="22"/>
          <w:szCs w:val="22"/>
        </w:rPr>
        <w:t xml:space="preserve">Application : </w:t>
      </w:r>
      <w:r>
        <w:rPr>
          <w:color w:val="000000"/>
          <w:sz w:val="22"/>
          <w:szCs w:val="22"/>
        </w:rPr>
        <w:t xml:space="preserve">Achats — Contrats fournisseurs</w:t>
      </w:r>
    </w:p>
    <w:p>
      <w:pPr>
        <w:spacing w:after="80"/>
      </w:pPr>
      <w:r>
        <w:rPr>
          <w:b/>
          <w:bCs/>
          <w:color w:val="75787B"/>
          <w:sz w:val="22"/>
          <w:szCs w:val="22"/>
        </w:rPr>
        <w:t xml:space="preserve">Public : </w:t>
      </w:r>
      <w:r>
        <w:rPr>
          <w:color w:val="000000"/>
          <w:sz w:val="22"/>
          <w:szCs w:val="22"/>
        </w:rPr>
        <w:t xml:space="preserve">Équipe Achats Printemps</w:t>
      </w:r>
    </w:p>
    <w:p>
      <w:pPr>
        <w:spacing w:after="80"/>
      </w:pPr>
      <w:r>
        <w:rPr>
          <w:b/>
          <w:bCs/>
          <w:color w:val="75787B"/>
          <w:sz w:val="22"/>
          <w:szCs w:val="22"/>
        </w:rPr>
        <w:t xml:space="preserve">Version du document : </w:t>
      </w:r>
      <w:r>
        <w:rPr>
          <w:color w:val="000000"/>
          <w:sz w:val="22"/>
          <w:szCs w:val="22"/>
        </w:rPr>
        <w:t xml:space="preserve">1.0</w:t>
      </w:r>
    </w:p>
    <w:p>
      <w:pPr>
        <w:spacing w:after="80"/>
      </w:pPr>
      <w:r>
        <w:rPr>
          <w:b/>
          <w:bCs/>
          <w:color w:val="75787B"/>
          <w:sz w:val="22"/>
          <w:szCs w:val="22"/>
        </w:rPr>
        <w:t xml:space="preserve">Périmètre : </w:t>
      </w:r>
      <w:r>
        <w:rPr>
          <w:color w:val="000000"/>
          <w:sz w:val="22"/>
          <w:szCs w:val="22"/>
        </w:rPr>
        <w:t xml:space="preserve">Conditions commerciales · Templates de contrats · Génération</w:t>
      </w:r>
    </w:p>
    <w:p>
      <w:r>
        <w:br w:type="page"/>
      </w:r>
    </w:p>
    <w:p>
      <w:pPr>
        <w:pStyle w:val="Heading1"/>
        <w:pBdr>
          <w:bottom w:val="single" w:color="00874C" w:sz="8" w:space="4"/>
        </w:pBdr>
        <w:spacing w:after="240" w:before="480"/>
      </w:pPr>
      <w:r>
        <w:rPr>
          <w:b/>
          <w:bCs/>
          <w:color w:val="00874C"/>
          <w:sz w:val="32"/>
          <w:szCs w:val="32"/>
        </w:rPr>
        <w:t xml:space="preserve">1. Présentation</w:t>
      </w:r>
    </w:p>
    <w:p>
      <w:pPr>
        <w:spacing w:after="160"/>
      </w:pPr>
      <w:r>
        <w:rPr>
          <w:color w:val="000000"/>
          <w:sz w:val="21"/>
          <w:szCs w:val="21"/>
        </w:rPr>
        <w:t xml:space="preserve">L'application « Générateur de contrats fournisseurs » centralise trois étapes qui, jusqu'ici, étaient traitées séparément : le suivi des conditions commerciales négociées avec les fournisseurs, la bibliothèque des templates de contrat Word, et la production du contrat rempli lui-même. Elle est prévue pour un usage interne, sans compte utilisateur : toute personne qui lance l'application y a accès en totalité.</w:t>
      </w:r>
    </w:p>
    <w:p>
      <w:pPr>
        <w:spacing w:after="160"/>
      </w:pPr>
      <w:r>
        <w:rPr>
          <w:color w:val="000000"/>
          <w:sz w:val="21"/>
          <w:szCs w:val="21"/>
        </w:rPr>
        <w:t xml:space="preserve">Le principe général est toujours le même : on dépose un fichier (conditions commerciales ou template), on ne l'écrase jamais — chaque dépôt crée une nouvelle version conservée dans l'historique —, puis on s'en sert pour produire un contrat.</w:t>
      </w:r>
    </w:p>
    <w:p>
      <w:pPr>
        <w:pStyle w:val="Heading2"/>
        <w:spacing w:after="160" w:before="360"/>
      </w:pPr>
      <w:r>
        <w:rPr>
          <w:b/>
          <w:bCs/>
          <w:color w:val="000000"/>
          <w:sz w:val="26"/>
          <w:szCs w:val="26"/>
        </w:rPr>
        <w:t xml:space="preserve">1.1. Les trois modules</w:t>
      </w:r>
    </w:p>
    <w:p>
      <w:pPr>
        <w:pStyle w:val="ListParagraph"/>
        <w:numPr>
          <w:ilvl w:val="0"/>
          <w:numId w:val="2"/>
        </w:numPr>
        <w:spacing w:after="80"/>
      </w:pPr>
      <w:r>
        <w:rPr>
          <w:b/>
          <w:bCs/>
          <w:sz w:val="21"/>
          <w:szCs w:val="21"/>
        </w:rPr>
        <w:t xml:space="preserve">Conditions commerciales</w:t>
      </w:r>
      <w:r>
        <w:rPr>
          <w:sz w:val="21"/>
          <w:szCs w:val="21"/>
        </w:rPr>
        <w:t xml:space="preserve"> — dépôt et historisation des fichiers Excel de conditions fournisseurs.</w:t>
      </w:r>
    </w:p>
    <w:p>
      <w:pPr>
        <w:pStyle w:val="ListParagraph"/>
        <w:numPr>
          <w:ilvl w:val="0"/>
          <w:numId w:val="2"/>
        </w:numPr>
        <w:spacing w:after="80"/>
      </w:pPr>
      <w:r>
        <w:rPr>
          <w:b/>
          <w:bCs/>
          <w:sz w:val="21"/>
          <w:szCs w:val="21"/>
        </w:rPr>
        <w:t xml:space="preserve">Templates de contrats</w:t>
      </w:r>
      <w:r>
        <w:rPr>
          <w:sz w:val="21"/>
          <w:szCs w:val="21"/>
        </w:rPr>
        <w:t xml:space="preserve"> — dépôt des modèles Word et association de chaque variable du modèle à une colonne du fichier de conditions (le « mapping »).</w:t>
      </w:r>
    </w:p>
    <w:p>
      <w:pPr>
        <w:pStyle w:val="ListParagraph"/>
        <w:numPr>
          <w:ilvl w:val="0"/>
          <w:numId w:val="2"/>
        </w:numPr>
        <w:spacing w:after="80"/>
      </w:pPr>
      <w:r>
        <w:rPr>
          <w:b/>
          <w:bCs/>
          <w:sz w:val="21"/>
          <w:szCs w:val="21"/>
        </w:rPr>
        <w:t xml:space="preserve">Générer un contrat</w:t>
      </w:r>
      <w:r>
        <w:rPr>
          <w:sz w:val="21"/>
          <w:szCs w:val="21"/>
        </w:rPr>
        <w:t xml:space="preserve"> — recherche d'un code sous-segment, relecture des valeurs pré-remplies, puis téléchargement du contrat Word finalisé.</w:t>
      </w:r>
    </w:p>
    <w:p>
      <w:pPr>
        <w:pBdr>
          <w:left w:val="single" w:color="75787B" w:sz="12" w:space="8"/>
        </w:pBdr>
        <w:spacing w:after="200"/>
        <w:ind w:left="240"/>
      </w:pPr>
      <w:r>
        <w:rPr>
          <w:b/>
          <w:bCs/>
          <w:i/>
          <w:iCs/>
          <w:color w:val="75787B"/>
          <w:sz w:val="20"/>
          <w:szCs w:val="20"/>
        </w:rPr>
        <w:t xml:space="preserve">Note — </w:t>
      </w:r>
      <w:r>
        <w:rPr>
          <w:i/>
          <w:iCs/>
          <w:color w:val="000000"/>
          <w:sz w:val="20"/>
          <w:szCs w:val="20"/>
        </w:rPr>
        <w:t xml:space="preserve">Un contrat ne peut être généré qu'à partir d'un template dont le mapping est complet (toutes les variables associées à une colonne, ou explicitement laissées en saisie libre). C'est une protection volontaire : elle évite de produire un contrat avec des champs oubliés sans s'en apercevoir.</w:t>
      </w:r>
    </w:p>
    <w:p>
      <w:pPr>
        <w:pStyle w:val="Heading1"/>
        <w:pBdr>
          <w:bottom w:val="single" w:color="00874C" w:sz="8" w:space="4"/>
        </w:pBdr>
        <w:spacing w:after="240" w:before="480"/>
      </w:pPr>
      <w:r>
        <w:rPr>
          <w:b/>
          <w:bCs/>
          <w:color w:val="00874C"/>
          <w:sz w:val="32"/>
          <w:szCs w:val="32"/>
        </w:rPr>
        <w:t xml:space="preserve">2. Démarrer l'application</w:t>
      </w:r>
    </w:p>
    <w:p>
      <w:pPr>
        <w:spacing w:after="160"/>
      </w:pPr>
      <w:r>
        <w:rPr>
          <w:color w:val="000000"/>
          <w:sz w:val="21"/>
          <w:szCs w:val="21"/>
        </w:rPr>
        <w:t xml:space="preserve">L'application se présente sous la forme d'un exécutable Windows autonome (aucune installation de Node.js ou d'un autre outil n'est nécessaire) : AchatsContrats.exe, accompagné d'un dossier public à conserver impérativement à côté de lui.</w:t>
      </w:r>
    </w:p>
    <w:p>
      <w:pPr>
        <w:pStyle w:val="ListParagraph"/>
        <w:numPr>
          <w:ilvl w:val="0"/>
          <w:numId w:val="3"/>
        </w:numPr>
        <w:spacing w:after="100"/>
      </w:pPr>
      <w:r>
        <w:rPr>
          <w:color w:val="000000"/>
          <w:sz w:val="21"/>
          <w:szCs w:val="21"/>
        </w:rPr>
        <w:t xml:space="preserve">Décompressez le dossier reçu si ce n'est pas déjà fait, et gardez tous les fichiers ensemble.</w:t>
      </w:r>
    </w:p>
    <w:p>
      <w:pPr>
        <w:pStyle w:val="ListParagraph"/>
        <w:numPr>
          <w:ilvl w:val="0"/>
          <w:numId w:val="3"/>
        </w:numPr>
        <w:spacing w:after="100"/>
      </w:pPr>
      <w:r>
        <w:rPr>
          <w:color w:val="000000"/>
          <w:sz w:val="21"/>
          <w:szCs w:val="21"/>
        </w:rPr>
        <w:t xml:space="preserve">Placez l'ensemble dans un dossier dédié (pas à la racine d'un disque partagé) : deux dossiers, data et storage, y seront créés automatiquement au premier lancement.</w:t>
      </w:r>
    </w:p>
    <w:p>
      <w:pPr>
        <w:pStyle w:val="ListParagraph"/>
        <w:numPr>
          <w:ilvl w:val="0"/>
          <w:numId w:val="3"/>
        </w:numPr>
        <w:spacing w:after="100"/>
      </w:pPr>
      <w:r>
        <w:rPr>
          <w:color w:val="000000"/>
          <w:sz w:val="21"/>
          <w:szCs w:val="21"/>
        </w:rPr>
        <w:t xml:space="preserve">Double-cliquez sur AchatsContrats.exe.</w:t>
      </w:r>
    </w:p>
    <w:p>
      <w:pPr>
        <w:pStyle w:val="ListParagraph"/>
        <w:numPr>
          <w:ilvl w:val="0"/>
          <w:numId w:val="3"/>
        </w:numPr>
        <w:spacing w:after="100"/>
      </w:pPr>
      <w:r>
        <w:rPr>
          <w:color w:val="000000"/>
          <w:sz w:val="21"/>
          <w:szCs w:val="21"/>
        </w:rPr>
        <w:t xml:space="preserve">Une fenêtre de terminal (console) s'ouvre — c'est normal, c'est le serveur de l'application qui démarre — puis votre navigateur s'ouvre automatiquement sur http://localhost:4000.</w:t>
      </w:r>
    </w:p>
    <w:p>
      <w:pPr>
        <w:pBdr>
          <w:left w:val="single" w:color="75787B" w:sz="12" w:space="8"/>
        </w:pBdr>
        <w:spacing w:after="200"/>
        <w:ind w:left="240"/>
      </w:pPr>
      <w:r>
        <w:rPr>
          <w:b/>
          <w:bCs/>
          <w:i/>
          <w:iCs/>
          <w:color w:val="75787B"/>
          <w:sz w:val="20"/>
          <w:szCs w:val="20"/>
        </w:rPr>
        <w:t xml:space="preserve">Attention — </w:t>
      </w:r>
      <w:r>
        <w:rPr>
          <w:i/>
          <w:iCs/>
          <w:color w:val="000000"/>
          <w:sz w:val="20"/>
          <w:szCs w:val="20"/>
        </w:rPr>
        <w:t xml:space="preserve">Laissez la fenêtre de terminal ouverte pendant toute l'utilisation de l'application. La fermer arrête l'application. Si Microsoft Defender SmartScreen affiche un avertissement au premier lancement (l'exécutable n'est pas signé numériquement), cliquez sur « Informations complémentaires » puis « Exécuter quand même ».</w:t>
      </w:r>
    </w:p>
    <w:p>
      <w:pPr>
        <w:spacing w:after="160"/>
      </w:pPr>
      <w:r>
        <w:rPr>
          <w:color w:val="000000"/>
          <w:sz w:val="21"/>
          <w:szCs w:val="21"/>
        </w:rPr>
        <w:t xml:space="preserve">Si vous relancez l'exécutable alors qu'une session précédente tourne déjà, le nouveau lancement retombe sur le serveur déjà démarré — pensez à fermer l'ancienne fenêtre de terminal avant d'en ouvrir une nouvelle, notamment après avoir reçu une mise à jour de l'application.</w:t>
      </w:r>
    </w:p>
    <w:p>
      <w:pPr>
        <w:pStyle w:val="Heading1"/>
        <w:pBdr>
          <w:bottom w:val="single" w:color="00874C" w:sz="8" w:space="4"/>
        </w:pBdr>
        <w:spacing w:after="240" w:before="480"/>
      </w:pPr>
      <w:r>
        <w:rPr>
          <w:b/>
          <w:bCs/>
          <w:color w:val="00874C"/>
          <w:sz w:val="32"/>
          <w:szCs w:val="32"/>
        </w:rPr>
        <w:t xml:space="preserve">3. Module — Conditions commerciales</w:t>
      </w:r>
    </w:p>
    <w:p>
      <w:pPr>
        <w:spacing w:after="160"/>
      </w:pPr>
      <w:r>
        <w:rPr>
          <w:color w:val="000000"/>
          <w:sz w:val="21"/>
          <w:szCs w:val="21"/>
        </w:rPr>
        <w:t xml:space="preserve">C'est le point de départ : le fichier Excel qui liste, pour chaque code sous-segment (ou marque), les conditions commerciales négociées. Cette page se trouve dans le menu « 1. Conditions commerciales ».</w:t>
      </w:r>
    </w:p>
    <w:p>
      <w:pPr>
        <w:pStyle w:val="Heading2"/>
        <w:spacing w:after="160" w:before="360"/>
      </w:pPr>
      <w:r>
        <w:rPr>
          <w:b/>
          <w:bCs/>
          <w:color w:val="000000"/>
          <w:sz w:val="26"/>
          <w:szCs w:val="26"/>
        </w:rPr>
        <w:t xml:space="preserve">3.1. Déposer un fichier</w:t>
      </w:r>
    </w:p>
    <w:p>
      <w:pPr>
        <w:pStyle w:val="ListParagraph"/>
        <w:numPr>
          <w:ilvl w:val="0"/>
          <w:numId w:val="2"/>
        </w:numPr>
        <w:spacing w:after="80"/>
      </w:pPr>
      <w:r>
        <w:rPr>
          <w:color w:val="000000"/>
          <w:sz w:val="21"/>
          <w:szCs w:val="21"/>
        </w:rPr>
        <w:t xml:space="preserve">Renseignez éventuellement le champ « Traité par (optionnel) » avec votre nom ou vos initiales.</w:t>
      </w:r>
    </w:p>
    <w:p>
      <w:pPr>
        <w:pStyle w:val="ListParagraph"/>
        <w:numPr>
          <w:ilvl w:val="0"/>
          <w:numId w:val="2"/>
        </w:numPr>
        <w:spacing w:after="80"/>
      </w:pPr>
      <w:r>
        <w:rPr>
          <w:color w:val="000000"/>
          <w:sz w:val="21"/>
          <w:szCs w:val="21"/>
        </w:rPr>
        <w:t xml:space="preserve">Glissez-déposez un fichier .xlsx dans la zone prévue, ou cliquez sur cette zone pour choisir le fichier depuis l'explorateur.</w:t>
      </w:r>
    </w:p>
    <w:p>
      <w:pPr>
        <w:pStyle w:val="ListParagraph"/>
        <w:numPr>
          <w:ilvl w:val="0"/>
          <w:numId w:val="2"/>
        </w:numPr>
        <w:spacing w:after="80"/>
      </w:pPr>
      <w:r>
        <w:rPr>
          <w:color w:val="000000"/>
          <w:sz w:val="21"/>
          <w:szCs w:val="21"/>
        </w:rPr>
        <w:t xml:space="preserve">Le dépôt crée une nouvelle version, jamais un remplacement : les versions précédentes restent visibles et consultables dans le tableau ci-dessous.</w:t>
      </w:r>
    </w:p>
    <w:p>
      <w:pPr>
        <w:spacing w:after="160"/>
      </w:pPr>
      <w:r>
        <w:rPr>
          <w:color w:val="000000"/>
          <w:sz w:val="21"/>
          <w:szCs w:val="21"/>
        </w:rPr>
        <w:t xml:space="preserve">Après le dépôt, un message confirme le nombre de lignes et de colonnes lues, et signale le cas échéant des codes sous-segment en doublon.</w:t>
      </w:r>
    </w:p>
    <w:p>
      <w:pPr>
        <w:pStyle w:val="Heading2"/>
        <w:spacing w:after="160" w:before="360"/>
      </w:pPr>
      <w:r>
        <w:rPr>
          <w:b/>
          <w:bCs/>
          <w:color w:val="000000"/>
          <w:sz w:val="26"/>
          <w:szCs w:val="26"/>
        </w:rPr>
        <w:t xml:space="preserve">3.2. Le tableau des versions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200"/>
        <w:gridCol w:w="7800"/>
      </w:tblGrid>
      <w:tr>
        <w:trPr>
          <w:tblHeader/>
        </w:trPr>
        <w:tc>
          <w:tcPr>
            <w:tcW w:type="dxa" w:w="2200"/>
            <w:shd w:fill="00874C" w:val="clear"/>
            <w:tcMar>
              <w:top w:type="dxa" w:w="80"/>
              <w:left w:type="dxa" w:w="100"/>
              <w:bottom w:type="dxa" w:w="80"/>
              <w:right w:type="dxa" w:w="100"/>
            </w:tcMar>
          </w:tcPr>
          <w:p>
            <w:pPr>
              <w:jc w:val="left"/>
            </w:pPr>
            <w:r>
              <w:rPr>
                <w:b/>
                <w:bCs/>
                <w:color w:val="FFFFFF"/>
                <w:sz w:val="20"/>
                <w:szCs w:val="20"/>
              </w:rPr>
              <w:t xml:space="preserve">Colonne</w:t>
            </w:r>
          </w:p>
        </w:tc>
        <w:tc>
          <w:tcPr>
            <w:tcW w:type="dxa" w:w="7800"/>
            <w:shd w:fill="00874C" w:val="clear"/>
            <w:tcMar>
              <w:top w:type="dxa" w:w="80"/>
              <w:left w:type="dxa" w:w="100"/>
              <w:bottom w:type="dxa" w:w="80"/>
              <w:right w:type="dxa" w:w="100"/>
            </w:tcMar>
          </w:tcPr>
          <w:p>
            <w:pPr>
              <w:jc w:val="left"/>
            </w:pPr>
            <w:r>
              <w:rPr>
                <w:b/>
                <w:bCs/>
                <w:color w:val="FFFFFF"/>
                <w:sz w:val="20"/>
                <w:szCs w:val="20"/>
              </w:rPr>
              <w:t xml:space="preserve">Signification</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Statut</w:t>
            </w:r>
          </w:p>
        </w:tc>
        <w:tc>
          <w:tcPr>
            <w:tcW w:type="dxa" w:w="7800"/>
            <w:tcMar>
              <w:top w:type="dxa" w:w="80"/>
              <w:left w:type="dxa" w:w="100"/>
              <w:bottom w:type="dxa" w:w="80"/>
              <w:right w:type="dxa" w:w="100"/>
            </w:tcMar>
          </w:tcPr>
          <w:p>
            <w:pPr>
              <w:jc w:val="left"/>
            </w:pPr>
            <w:r>
              <w:rPr>
                <w:b w:val="false"/>
                <w:bCs w:val="false"/>
                <w:color w:val="000000"/>
                <w:sz w:val="20"/>
                <w:szCs w:val="20"/>
              </w:rPr>
              <w:t xml:space="preserve">« Active » (badge vert) si c'est la version actuellement utilisée pour la génération ; sinon un bouton « Activer ».</w:t>
            </w:r>
          </w:p>
        </w:tc>
      </w:tr>
      <w:tr>
        <w:tc>
          <w:tcPr>
            <w:tcW w:type="dxa" w:w="2200"/>
            <w:shd w:fill="F5F6F8" w:val="clear"/>
            <w:tcMar>
              <w:top w:type="dxa" w:w="80"/>
              <w:left w:type="dxa" w:w="100"/>
              <w:bottom w:type="dxa" w:w="80"/>
              <w:right w:type="dxa" w:w="100"/>
            </w:tcMar>
          </w:tcPr>
          <w:p>
            <w:pPr>
              <w:jc w:val="left"/>
            </w:pPr>
            <w:r>
              <w:rPr>
                <w:b w:val="false"/>
                <w:bCs w:val="false"/>
                <w:color w:val="000000"/>
                <w:sz w:val="20"/>
                <w:szCs w:val="20"/>
              </w:rPr>
              <w:t xml:space="preserve">Fichier</w:t>
            </w:r>
          </w:p>
        </w:tc>
        <w:tc>
          <w:tcPr>
            <w:tcW w:type="dxa" w:w="7800"/>
            <w:shd w:fill="F5F6F8" w:val="clear"/>
            <w:tcMar>
              <w:top w:type="dxa" w:w="80"/>
              <w:left w:type="dxa" w:w="100"/>
              <w:bottom w:type="dxa" w:w="80"/>
              <w:right w:type="dxa" w:w="100"/>
            </w:tcMar>
          </w:tcPr>
          <w:p>
            <w:pPr>
              <w:jc w:val="left"/>
            </w:pPr>
            <w:r>
              <w:rPr>
                <w:b w:val="false"/>
                <w:bCs w:val="false"/>
                <w:color w:val="000000"/>
                <w:sz w:val="20"/>
                <w:szCs w:val="20"/>
              </w:rPr>
              <w:t xml:space="preserve">Nom du fichier déposé (lien de téléchargement) et, si renseigné, le nom de la personne qui l'a déposé.</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Dépôt</w:t>
            </w:r>
          </w:p>
        </w:tc>
        <w:tc>
          <w:tcPr>
            <w:tcW w:type="dxa" w:w="7800"/>
            <w:tcMar>
              <w:top w:type="dxa" w:w="80"/>
              <w:left w:type="dxa" w:w="100"/>
              <w:bottom w:type="dxa" w:w="80"/>
              <w:right w:type="dxa" w:w="100"/>
            </w:tcMar>
          </w:tcPr>
          <w:p>
            <w:pPr>
              <w:jc w:val="left"/>
            </w:pPr>
            <w:r>
              <w:rPr>
                <w:b w:val="false"/>
                <w:bCs w:val="false"/>
                <w:color w:val="000000"/>
                <w:sz w:val="20"/>
                <w:szCs w:val="20"/>
              </w:rPr>
              <w:t xml:space="preserve">Date et heure du dépôt.</w:t>
            </w:r>
          </w:p>
        </w:tc>
      </w:tr>
      <w:tr>
        <w:tc>
          <w:tcPr>
            <w:tcW w:type="dxa" w:w="2200"/>
            <w:shd w:fill="F5F6F8" w:val="clear"/>
            <w:tcMar>
              <w:top w:type="dxa" w:w="80"/>
              <w:left w:type="dxa" w:w="100"/>
              <w:bottom w:type="dxa" w:w="80"/>
              <w:right w:type="dxa" w:w="100"/>
            </w:tcMar>
          </w:tcPr>
          <w:p>
            <w:pPr>
              <w:jc w:val="left"/>
            </w:pPr>
            <w:r>
              <w:rPr>
                <w:b w:val="false"/>
                <w:bCs w:val="false"/>
                <w:color w:val="000000"/>
                <w:sz w:val="20"/>
                <w:szCs w:val="20"/>
              </w:rPr>
              <w:t xml:space="preserve">Lignes / Colonnes</w:t>
            </w:r>
          </w:p>
        </w:tc>
        <w:tc>
          <w:tcPr>
            <w:tcW w:type="dxa" w:w="7800"/>
            <w:shd w:fill="F5F6F8" w:val="clear"/>
            <w:tcMar>
              <w:top w:type="dxa" w:w="80"/>
              <w:left w:type="dxa" w:w="100"/>
              <w:bottom w:type="dxa" w:w="80"/>
              <w:right w:type="dxa" w:w="100"/>
            </w:tcMar>
          </w:tcPr>
          <w:p>
            <w:pPr>
              <w:jc w:val="left"/>
            </w:pPr>
            <w:r>
              <w:rPr>
                <w:b w:val="false"/>
                <w:bCs w:val="false"/>
                <w:color w:val="000000"/>
                <w:sz w:val="20"/>
                <w:szCs w:val="20"/>
              </w:rPr>
              <w:t xml:space="preserve">Nombre de lignes de données et de colonnes détectées dans le fichier.</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Code sous-segment</w:t>
            </w:r>
          </w:p>
        </w:tc>
        <w:tc>
          <w:tcPr>
            <w:tcW w:type="dxa" w:w="7800"/>
            <w:tcMar>
              <w:top w:type="dxa" w:w="80"/>
              <w:left w:type="dxa" w:w="100"/>
              <w:bottom w:type="dxa" w:w="80"/>
              <w:right w:type="dxa" w:w="100"/>
            </w:tcMar>
          </w:tcPr>
          <w:p>
            <w:pPr>
              <w:jc w:val="left"/>
            </w:pPr>
            <w:r>
              <w:rPr>
                <w:b w:val="false"/>
                <w:bCs w:val="false"/>
                <w:color w:val="000000"/>
                <w:sz w:val="20"/>
                <w:szCs w:val="20"/>
              </w:rPr>
              <w:t xml:space="preserve">Colonne du fichier utilisée pour la recherche lors de la génération (voir ci-dessous).</w:t>
            </w:r>
          </w:p>
        </w:tc>
      </w:tr>
      <w:tr>
        <w:tc>
          <w:tcPr>
            <w:tcW w:type="dxa" w:w="2200"/>
            <w:shd w:fill="F5F6F8" w:val="clear"/>
            <w:tcMar>
              <w:top w:type="dxa" w:w="80"/>
              <w:left w:type="dxa" w:w="100"/>
              <w:bottom w:type="dxa" w:w="80"/>
              <w:right w:type="dxa" w:w="100"/>
            </w:tcMar>
          </w:tcPr>
          <w:p>
            <w:pPr>
              <w:jc w:val="left"/>
            </w:pPr>
            <w:r>
              <w:rPr>
                <w:b w:val="false"/>
                <w:bCs w:val="false"/>
                <w:color w:val="000000"/>
                <w:sz w:val="20"/>
                <w:szCs w:val="20"/>
              </w:rPr>
              <w:t xml:space="preserve">Alertes</w:t>
            </w:r>
          </w:p>
        </w:tc>
        <w:tc>
          <w:tcPr>
            <w:tcW w:type="dxa" w:w="7800"/>
            <w:shd w:fill="F5F6F8" w:val="clear"/>
            <w:tcMar>
              <w:top w:type="dxa" w:w="80"/>
              <w:left w:type="dxa" w:w="100"/>
              <w:bottom w:type="dxa" w:w="80"/>
              <w:right w:type="dxa" w:w="100"/>
            </w:tcMar>
          </w:tcPr>
          <w:p>
            <w:pPr>
              <w:jc w:val="left"/>
            </w:pPr>
            <w:r>
              <w:rPr>
                <w:b w:val="false"/>
                <w:bCs w:val="false"/>
                <w:color w:val="000000"/>
                <w:sz w:val="20"/>
                <w:szCs w:val="20"/>
              </w:rPr>
              <w:t xml:space="preserve">Signale les doublons de code sous-segment détectés dans le fichier.</w:t>
            </w:r>
          </w:p>
        </w:tc>
      </w:tr>
    </w:tbl>
    <w:p>
      <w:pPr>
        <w:pStyle w:val="Heading2"/>
        <w:spacing w:after="160" w:before="360"/>
      </w:pPr>
      <w:r>
        <w:rPr>
          <w:b/>
          <w:bCs/>
          <w:color w:val="000000"/>
          <w:sz w:val="26"/>
          <w:szCs w:val="26"/>
        </w:rPr>
        <w:t xml:space="preserve">3.3. Version active, colonne code sous-segment</w:t>
      </w:r>
    </w:p>
    <w:p>
      <w:pPr>
        <w:spacing w:after="160"/>
      </w:pPr>
      <w:r>
        <w:rPr>
          <w:color w:val="000000"/>
          <w:sz w:val="21"/>
          <w:szCs w:val="21"/>
        </w:rPr>
        <w:t xml:space="preserve">Une seule version peut être « active » à la fois : c'est celle qui sera proposée par défaut lors de la génération d'un contrat. Cliquez sur « Activer » sur la ligne souhaitée pour en faire la version active — l'ancienne version active perd automatiquement ce statut.</w:t>
      </w:r>
    </w:p>
    <w:p>
      <w:pPr>
        <w:spacing w:after="160"/>
      </w:pPr>
      <w:r>
        <w:rPr>
          <w:color w:val="000000"/>
          <w:sz w:val="21"/>
          <w:szCs w:val="21"/>
        </w:rPr>
        <w:t xml:space="preserve">La colonne servant de « code sous-segment » (utilisée pour rechercher une ligne lors de la génération) doit être désignée pour chaque version. Si elle n'a pas pu être détectée automatiquement, un bouton rouge « À désigner » apparaît : cliquez dessus, choisissez la colonne dans la liste déroulante, puis validez.</w:t>
      </w:r>
    </w:p>
    <w:p>
      <w:pPr>
        <w:pStyle w:val="Heading2"/>
        <w:spacing w:after="160" w:before="360"/>
      </w:pPr>
      <w:r>
        <w:rPr>
          <w:b/>
          <w:bCs/>
          <w:color w:val="000000"/>
          <w:sz w:val="26"/>
          <w:szCs w:val="26"/>
        </w:rPr>
        <w:t xml:space="preserve">3.4. Archiver</w:t>
      </w:r>
    </w:p>
    <w:p>
      <w:pPr>
        <w:spacing w:after="160"/>
      </w:pPr>
      <w:r>
        <w:rPr>
          <w:color w:val="000000"/>
          <w:sz w:val="21"/>
          <w:szCs w:val="21"/>
        </w:rPr>
        <w:t xml:space="preserve">Le bouton « Archiver » masque une version de la liste sans la supprimer (les contrats déjà générés à partir de cette version restent traçables dans le journal). Une version active ne peut pas être archivée directement — activez d'abord une autre version.</w:t>
      </w:r>
    </w:p>
    <w:p>
      <w:pPr>
        <w:pStyle w:val="Heading1"/>
        <w:pBdr>
          <w:bottom w:val="single" w:color="00874C" w:sz="8" w:space="4"/>
        </w:pBdr>
        <w:spacing w:after="240" w:before="480"/>
      </w:pPr>
      <w:r>
        <w:rPr>
          <w:b/>
          <w:bCs/>
          <w:color w:val="00874C"/>
          <w:sz w:val="32"/>
          <w:szCs w:val="32"/>
        </w:rPr>
        <w:t xml:space="preserve">4. Module — Templates de contrats</w:t>
      </w:r>
    </w:p>
    <w:p>
      <w:pPr>
        <w:spacing w:after="160"/>
      </w:pPr>
      <w:r>
        <w:rPr>
          <w:color w:val="000000"/>
          <w:sz w:val="21"/>
          <w:szCs w:val="21"/>
        </w:rPr>
        <w:t xml:space="preserve">Cette page (menu « 2. Templates de contrats ») gère la bibliothèque des modèles de contrat Word et la correspondance entre leurs variables et les colonnes du fichier de conditions.</w:t>
      </w:r>
    </w:p>
    <w:p>
      <w:pPr>
        <w:pStyle w:val="Heading2"/>
        <w:spacing w:after="160" w:before="360"/>
      </w:pPr>
      <w:r>
        <w:rPr>
          <w:b/>
          <w:bCs/>
          <w:color w:val="000000"/>
          <w:sz w:val="26"/>
          <w:szCs w:val="26"/>
        </w:rPr>
        <w:t xml:space="preserve">4.1. Format attendu d'un template</w:t>
      </w:r>
    </w:p>
    <w:p>
      <w:pPr>
        <w:spacing w:after="160"/>
      </w:pPr>
      <w:r>
        <w:rPr>
          <w:color w:val="000000"/>
          <w:sz w:val="21"/>
          <w:szCs w:val="21"/>
        </w:rPr>
        <w:t xml:space="preserve">Un template est un fichier Word (.docx) dans lequel chaque emplacement à remplir est repéré par une balise au format double-accolade, par exemple :</w:t>
      </w:r>
    </w:p>
    <w:p>
      <w:pPr>
        <w:spacing w:after="160"/>
      </w:pPr>
      <w:r>
        <w:rPr>
          <w:rFonts w:ascii="Consolas" w:cs="Consolas" w:eastAsia="Consolas" w:hAnsi="Consolas"/>
          <w:color w:val="00874C"/>
          <w:sz w:val="21"/>
          <w:szCs w:val="21"/>
        </w:rPr>
        <w:t xml:space="preserve">{{Nom du fournisseur}}</w:t>
      </w:r>
    </w:p>
    <w:p>
      <w:pPr>
        <w:spacing w:after="160"/>
      </w:pPr>
      <w:r>
        <w:rPr>
          <w:color w:val="000000"/>
          <w:sz w:val="21"/>
          <w:szCs w:val="21"/>
        </w:rPr>
        <w:t xml:space="preserve">La mise en forme du document (styles, tableaux, en-têtes/pieds de page) est intégralement préservée lors de la génération : seul le texte des balises est remplacé.</w:t>
      </w:r>
    </w:p>
    <w:p>
      <w:pPr>
        <w:pStyle w:val="Heading2"/>
        <w:spacing w:after="160" w:before="360"/>
      </w:pPr>
      <w:r>
        <w:rPr>
          <w:b/>
          <w:bCs/>
          <w:color w:val="000000"/>
          <w:sz w:val="26"/>
          <w:szCs w:val="26"/>
        </w:rPr>
        <w:t xml:space="preserve">4.2. Déposer un template</w:t>
      </w:r>
    </w:p>
    <w:p>
      <w:pPr>
        <w:pStyle w:val="ListParagraph"/>
        <w:numPr>
          <w:ilvl w:val="0"/>
          <w:numId w:val="3"/>
        </w:numPr>
        <w:spacing w:after="100"/>
      </w:pPr>
      <w:r>
        <w:rPr>
          <w:color w:val="000000"/>
          <w:sz w:val="21"/>
          <w:szCs w:val="21"/>
        </w:rPr>
        <w:t xml:space="preserve">Cliquez sur « + Déposer un template ».</w:t>
      </w:r>
    </w:p>
    <w:p>
      <w:pPr>
        <w:pStyle w:val="ListParagraph"/>
        <w:numPr>
          <w:ilvl w:val="0"/>
          <w:numId w:val="3"/>
        </w:numPr>
        <w:spacing w:after="100"/>
      </w:pPr>
      <w:r>
        <w:rPr>
          <w:color w:val="000000"/>
          <w:sz w:val="21"/>
          <w:szCs w:val="21"/>
        </w:rPr>
        <w:t xml:space="preserve">Renseignez le libellé (obligatoire), le département et la personne en charge (optionnels).</w:t>
      </w:r>
    </w:p>
    <w:p>
      <w:pPr>
        <w:pStyle w:val="ListParagraph"/>
        <w:numPr>
          <w:ilvl w:val="0"/>
          <w:numId w:val="3"/>
        </w:numPr>
        <w:spacing w:after="100"/>
      </w:pPr>
      <w:r>
        <w:rPr>
          <w:color w:val="000000"/>
          <w:sz w:val="21"/>
          <w:szCs w:val="21"/>
        </w:rPr>
        <w:t xml:space="preserve">Sélectionnez le fichier .docx et cliquez sur « Déposer ».</w:t>
      </w:r>
    </w:p>
    <w:p>
      <w:pPr>
        <w:spacing w:after="160"/>
      </w:pPr>
      <w:r>
        <w:rPr>
          <w:color w:val="000000"/>
          <w:sz w:val="21"/>
          <w:szCs w:val="21"/>
        </w:rPr>
        <w:t xml:space="preserve">Les variables {{...}} du document sont détectées automatiquement. Déposer à nouveau un fichier sous le même libellé crée une nouvelle version du même template (numérotée v1, v2, …), sans perdre l'historique.</w:t>
      </w:r>
    </w:p>
    <w:p>
      <w:pPr>
        <w:pStyle w:val="Heading2"/>
        <w:spacing w:after="160" w:before="360"/>
      </w:pPr>
      <w:r>
        <w:rPr>
          <w:b/>
          <w:bCs/>
          <w:color w:val="000000"/>
          <w:sz w:val="26"/>
          <w:szCs w:val="26"/>
        </w:rPr>
        <w:t xml:space="preserve">4.3. Le mapping (correspondance variable ↔ colonne)</w:t>
      </w:r>
    </w:p>
    <w:p>
      <w:pPr>
        <w:spacing w:after="160"/>
      </w:pPr>
      <w:r>
        <w:rPr>
          <w:color w:val="000000"/>
          <w:sz w:val="21"/>
          <w:szCs w:val="21"/>
        </w:rPr>
        <w:t xml:space="preserve">Cliquez sur « Gérer le mapping » sur la ligne du template concerné pour ouvrir le panneau de correspondance. Pour chaque variable détectée, deux options :</w:t>
      </w:r>
    </w:p>
    <w:p>
      <w:pPr>
        <w:pStyle w:val="ListParagraph"/>
        <w:numPr>
          <w:ilvl w:val="0"/>
          <w:numId w:val="2"/>
        </w:numPr>
        <w:spacing w:after="80"/>
      </w:pPr>
      <w:r>
        <w:rPr>
          <w:b/>
          <w:bCs/>
          <w:sz w:val="21"/>
          <w:szCs w:val="21"/>
        </w:rPr>
        <w:t xml:space="preserve">Associer une colonne</w:t>
      </w:r>
      <w:r>
        <w:rPr>
          <w:sz w:val="21"/>
          <w:szCs w:val="21"/>
        </w:rPr>
        <w:t xml:space="preserve"> du fichier de conditions commerciales (sélecteur déroulant), qui fournira automatiquement la valeur lors de la génération.</w:t>
      </w:r>
    </w:p>
    <w:p>
      <w:pPr>
        <w:pStyle w:val="ListParagraph"/>
        <w:numPr>
          <w:ilvl w:val="0"/>
          <w:numId w:val="2"/>
        </w:numPr>
        <w:spacing w:after="80"/>
      </w:pPr>
      <w:r>
        <w:rPr>
          <w:b/>
          <w:bCs/>
          <w:sz w:val="21"/>
          <w:szCs w:val="21"/>
        </w:rPr>
        <w:t xml:space="preserve">« Marquer comme saisie libre »</w:t>
      </w:r>
      <w:r>
        <w:rPr>
          <w:sz w:val="21"/>
          <w:szCs w:val="21"/>
        </w:rPr>
        <w:t xml:space="preserve"> si la valeur ne provient pas du fichier de conditions et doit être saisie manuellement à chaque génération.</w:t>
      </w:r>
    </w:p>
    <w:p>
      <w:pPr>
        <w:spacing w:after="160"/>
      </w:pPr>
      <w:r>
        <w:rPr>
          <w:color w:val="000000"/>
          <w:sz w:val="21"/>
          <w:szCs w:val="21"/>
        </w:rPr>
        <w:t xml:space="preserve">Le fichier de conditions de référence utilisé pour proposer les colonnes disponibles peut être choisi explicitement (utile pour préparer un mapping avant que la version définitive soit active) ; par défaut, c'est la version active qui est utilisée.</w:t>
      </w:r>
    </w:p>
    <w:p>
      <w:pPr>
        <w:pStyle w:val="Heading3"/>
        <w:spacing w:after="120" w:before="240"/>
      </w:pPr>
      <w:r>
        <w:rPr>
          <w:b/>
          <w:bCs/>
          <w:color w:val="00874C"/>
          <w:sz w:val="23"/>
          <w:szCs w:val="23"/>
        </w:rPr>
        <w:t xml:space="preserve">Import / export en masse</w:t>
      </w:r>
    </w:p>
    <w:p>
      <w:pPr>
        <w:spacing w:after="160"/>
      </w:pPr>
      <w:r>
        <w:rPr>
          <w:color w:val="000000"/>
          <w:sz w:val="21"/>
          <w:szCs w:val="21"/>
        </w:rPr>
        <w:t xml:space="preserve">Pour un template à de nombreuses variables, deux boutons évitent de tout saisir une par une dans l'écran :</w:t>
      </w:r>
    </w:p>
    <w:p>
      <w:pPr>
        <w:pStyle w:val="ListParagraph"/>
        <w:numPr>
          <w:ilvl w:val="0"/>
          <w:numId w:val="2"/>
        </w:numPr>
        <w:spacing w:after="80"/>
      </w:pPr>
      <w:r>
        <w:rPr>
          <w:color w:val="000000"/>
          <w:sz w:val="21"/>
          <w:szCs w:val="21"/>
        </w:rPr>
        <w:t xml:space="preserve">Télécharger le mapping vierge : génère un fichier Excel (Variable / Colonne correspondante / Colonnes disponibles) avec une liste déroulante de validation sur la colonne « Colonne correspondante ».</w:t>
      </w:r>
    </w:p>
    <w:p>
      <w:pPr>
        <w:pStyle w:val="ListParagraph"/>
        <w:numPr>
          <w:ilvl w:val="0"/>
          <w:numId w:val="2"/>
        </w:numPr>
        <w:spacing w:after="80"/>
      </w:pPr>
      <w:r>
        <w:rPr>
          <w:color w:val="000000"/>
          <w:sz w:val="21"/>
          <w:szCs w:val="21"/>
        </w:rPr>
        <w:t xml:space="preserve">Importer le mapping rempli : relit ce fichier une fois complété et applique la correspondance en une seule opération. Toute incohérence (variable inconnue, colonne inexistante dans le référentiel, colonne utilisée deux fois) est signalée avant l'enregistrement, sans rien modifier tant que l'erreur n'est pas corrigée.</w:t>
      </w:r>
    </w:p>
    <w:p>
      <w:pPr>
        <w:pStyle w:val="Heading2"/>
        <w:spacing w:after="160" w:before="360"/>
      </w:pPr>
      <w:r>
        <w:rPr>
          <w:b/>
          <w:bCs/>
          <w:color w:val="000000"/>
          <w:sz w:val="26"/>
          <w:szCs w:val="26"/>
        </w:rPr>
        <w:t xml:space="preserve">4.4. Le statut du mapping</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3000"/>
        <w:gridCol w:w="7000"/>
      </w:tblGrid>
      <w:tr>
        <w:trPr>
          <w:tblHeader/>
        </w:trPr>
        <w:tc>
          <w:tcPr>
            <w:tcW w:type="dxa" w:w="3000"/>
            <w:shd w:fill="00874C" w:val="clear"/>
            <w:tcMar>
              <w:top w:type="dxa" w:w="80"/>
              <w:left w:type="dxa" w:w="100"/>
              <w:bottom w:type="dxa" w:w="80"/>
              <w:right w:type="dxa" w:w="100"/>
            </w:tcMar>
          </w:tcPr>
          <w:p>
            <w:pPr>
              <w:jc w:val="left"/>
            </w:pPr>
            <w:r>
              <w:rPr>
                <w:b/>
                <w:bCs/>
                <w:color w:val="FFFFFF"/>
                <w:sz w:val="20"/>
                <w:szCs w:val="20"/>
              </w:rPr>
              <w:t xml:space="preserve">Badge</w:t>
            </w:r>
          </w:p>
        </w:tc>
        <w:tc>
          <w:tcPr>
            <w:tcW w:type="dxa" w:w="7000"/>
            <w:shd w:fill="00874C" w:val="clear"/>
            <w:tcMar>
              <w:top w:type="dxa" w:w="80"/>
              <w:left w:type="dxa" w:w="100"/>
              <w:bottom w:type="dxa" w:w="80"/>
              <w:right w:type="dxa" w:w="100"/>
            </w:tcMar>
          </w:tcPr>
          <w:p>
            <w:pPr>
              <w:jc w:val="left"/>
            </w:pPr>
            <w:r>
              <w:rPr>
                <w:b/>
                <w:bCs/>
                <w:color w:val="FFFFFF"/>
                <w:sz w:val="20"/>
                <w:szCs w:val="20"/>
              </w:rPr>
              <w:t xml:space="preserve">Signification</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Mapping complet (vert)</w:t>
            </w:r>
          </w:p>
        </w:tc>
        <w:tc>
          <w:tcPr>
            <w:tcW w:type="dxa" w:w="7000"/>
            <w:tcMar>
              <w:top w:type="dxa" w:w="80"/>
              <w:left w:type="dxa" w:w="100"/>
              <w:bottom w:type="dxa" w:w="80"/>
              <w:right w:type="dxa" w:w="100"/>
            </w:tcMar>
          </w:tcPr>
          <w:p>
            <w:pPr>
              <w:jc w:val="left"/>
            </w:pPr>
            <w:r>
              <w:rPr>
                <w:b w:val="false"/>
                <w:bCs w:val="false"/>
                <w:color w:val="000000"/>
                <w:sz w:val="20"/>
                <w:szCs w:val="20"/>
              </w:rPr>
              <w:t xml:space="preserve">Toutes les variables sont associées à une colonne valide, ou marquées en saisie libre. Le template est utilisable pour générer un contrat.</w:t>
            </w:r>
          </w:p>
        </w:tc>
      </w:tr>
      <w:tr>
        <w:tc>
          <w:tcPr>
            <w:tcW w:type="dxa" w:w="3000"/>
            <w:shd w:fill="F5F6F8" w:val="clear"/>
            <w:tcMar>
              <w:top w:type="dxa" w:w="80"/>
              <w:left w:type="dxa" w:w="100"/>
              <w:bottom w:type="dxa" w:w="80"/>
              <w:right w:type="dxa" w:w="100"/>
            </w:tcMar>
          </w:tcPr>
          <w:p>
            <w:pPr>
              <w:jc w:val="left"/>
            </w:pPr>
            <w:r>
              <w:rPr>
                <w:b w:val="false"/>
                <w:bCs w:val="false"/>
                <w:color w:val="000000"/>
                <w:sz w:val="20"/>
                <w:szCs w:val="20"/>
              </w:rPr>
              <w:t xml:space="preserve">Mapping incomplet (orange)</w:t>
            </w:r>
          </w:p>
        </w:tc>
        <w:tc>
          <w:tcPr>
            <w:tcW w:type="dxa" w:w="7000"/>
            <w:shd w:fill="F5F6F8" w:val="clear"/>
            <w:tcMar>
              <w:top w:type="dxa" w:w="80"/>
              <w:left w:type="dxa" w:w="100"/>
              <w:bottom w:type="dxa" w:w="80"/>
              <w:right w:type="dxa" w:w="100"/>
            </w:tcMar>
          </w:tcPr>
          <w:p>
            <w:pPr>
              <w:jc w:val="left"/>
            </w:pPr>
            <w:r>
              <w:rPr>
                <w:b w:val="false"/>
                <w:bCs w:val="false"/>
                <w:color w:val="000000"/>
                <w:sz w:val="20"/>
                <w:szCs w:val="20"/>
              </w:rPr>
              <w:t xml:space="preserve">Au moins une variable n'est pas encore traitée, ou pointe vers une colonne qui n'existe plus dans le fichier de conditions actif (par exemple après renommage/suppression d'une colonne dans une nouvelle version du fichier).</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Mapping absent (rouge)</w:t>
            </w:r>
          </w:p>
        </w:tc>
        <w:tc>
          <w:tcPr>
            <w:tcW w:type="dxa" w:w="7000"/>
            <w:tcMar>
              <w:top w:type="dxa" w:w="80"/>
              <w:left w:type="dxa" w:w="100"/>
              <w:bottom w:type="dxa" w:w="80"/>
              <w:right w:type="dxa" w:w="100"/>
            </w:tcMar>
          </w:tcPr>
          <w:p>
            <w:pPr>
              <w:jc w:val="left"/>
            </w:pPr>
            <w:r>
              <w:rPr>
                <w:b w:val="false"/>
                <w:bCs w:val="false"/>
                <w:color w:val="000000"/>
                <w:sz w:val="20"/>
                <w:szCs w:val="20"/>
              </w:rPr>
              <w:t xml:space="preserve">Aucune variable n'a encore été traitée (cas d'un template qui vient d'être déposé).</w:t>
            </w:r>
          </w:p>
        </w:tc>
      </w:tr>
    </w:tbl>
    <w:p>
      <w:pPr>
        <w:pBdr>
          <w:left w:val="single" w:color="75787B" w:sz="12" w:space="8"/>
        </w:pBdr>
        <w:spacing w:after="200"/>
        <w:ind w:left="240"/>
      </w:pPr>
      <w:r>
        <w:rPr>
          <w:b/>
          <w:bCs/>
          <w:i/>
          <w:iCs/>
          <w:color w:val="75787B"/>
          <w:sz w:val="20"/>
          <w:szCs w:val="20"/>
        </w:rPr>
        <w:t xml:space="preserve">Note — </w:t>
      </w:r>
      <w:r>
        <w:rPr>
          <w:i/>
          <w:iCs/>
          <w:color w:val="000000"/>
          <w:sz w:val="20"/>
          <w:szCs w:val="20"/>
        </w:rPr>
        <w:t xml:space="preserve">Un mapping « incomplet » à cause d'une colonne devenue introuvable ne se voit pas forcément au premier coup d'œil dans l'écran de génération : vérifiez le statut du template dans cette page dès qu'une nouvelle version du fichier de conditions est activée.</w:t>
      </w:r>
    </w:p>
    <w:p>
      <w:pPr>
        <w:pStyle w:val="Heading1"/>
        <w:pBdr>
          <w:bottom w:val="single" w:color="00874C" w:sz="8" w:space="4"/>
        </w:pBdr>
        <w:spacing w:after="240" w:before="480"/>
      </w:pPr>
      <w:r>
        <w:rPr>
          <w:b/>
          <w:bCs/>
          <w:color w:val="00874C"/>
          <w:sz w:val="32"/>
          <w:szCs w:val="32"/>
        </w:rPr>
        <w:t xml:space="preserve">5. Module — Générer un contrat</w:t>
      </w:r>
    </w:p>
    <w:p>
      <w:pPr>
        <w:spacing w:after="160"/>
      </w:pPr>
      <w:r>
        <w:rPr>
          <w:color w:val="000000"/>
          <w:sz w:val="21"/>
          <w:szCs w:val="21"/>
        </w:rPr>
        <w:t xml:space="preserve">Cette page (menu « 3. Générer un contrat ») rassemble la sélection, la recherche et la génération.</w:t>
      </w:r>
    </w:p>
    <w:p>
      <w:pPr>
        <w:pStyle w:val="Heading2"/>
        <w:spacing w:after="160" w:before="360"/>
      </w:pPr>
      <w:r>
        <w:rPr>
          <w:b/>
          <w:bCs/>
          <w:color w:val="000000"/>
          <w:sz w:val="26"/>
          <w:szCs w:val="26"/>
        </w:rPr>
        <w:t xml:space="preserve">5.1. Sélection</w:t>
      </w:r>
    </w:p>
    <w:p>
      <w:pPr>
        <w:pStyle w:val="ListParagraph"/>
        <w:numPr>
          <w:ilvl w:val="0"/>
          <w:numId w:val="2"/>
        </w:numPr>
        <w:spacing w:after="80"/>
      </w:pPr>
      <w:r>
        <w:rPr>
          <w:color w:val="000000"/>
          <w:sz w:val="21"/>
          <w:szCs w:val="21"/>
        </w:rPr>
        <w:t xml:space="preserve">Template de contrat : liste de tous les templates déposés. Ceux dont le mapping n'est pas complet portent la mention « — mapping incomplet » et ne sont pas sélectionnables pour la recherche ; un message rappelle qu'il faut terminer le mapping dans la page Templates.</w:t>
      </w:r>
    </w:p>
    <w:p>
      <w:pPr>
        <w:pStyle w:val="ListParagraph"/>
        <w:numPr>
          <w:ilvl w:val="0"/>
          <w:numId w:val="2"/>
        </w:numPr>
        <w:spacing w:after="80"/>
      </w:pPr>
      <w:r>
        <w:rPr>
          <w:color w:val="000000"/>
          <w:sz w:val="21"/>
          <w:szCs w:val="21"/>
        </w:rPr>
        <w:t xml:space="preserve">Fichier de conditions commerciales : la version active est présélectionnée, mais une autre version peut être choisie.</w:t>
      </w:r>
    </w:p>
    <w:p>
      <w:pPr>
        <w:pStyle w:val="ListParagraph"/>
        <w:numPr>
          <w:ilvl w:val="0"/>
          <w:numId w:val="2"/>
        </w:numPr>
        <w:spacing w:after="80"/>
      </w:pPr>
      <w:r>
        <w:rPr>
          <w:color w:val="000000"/>
          <w:sz w:val="21"/>
          <w:szCs w:val="21"/>
        </w:rPr>
        <w:t xml:space="preserve">Traité par (optionnel) : nom de la personne qui génère le contrat, conservé dans le journal.</w:t>
      </w:r>
    </w:p>
    <w:p>
      <w:pPr>
        <w:pStyle w:val="Heading2"/>
        <w:spacing w:after="160" w:before="360"/>
      </w:pPr>
      <w:r>
        <w:rPr>
          <w:b/>
          <w:bCs/>
          <w:color w:val="000000"/>
          <w:sz w:val="26"/>
          <w:szCs w:val="26"/>
        </w:rPr>
        <w:t xml:space="preserve">5.2. Recherche du code sous-segment</w:t>
      </w:r>
    </w:p>
    <w:p>
      <w:pPr>
        <w:spacing w:after="160"/>
      </w:pPr>
      <w:r>
        <w:rPr>
          <w:color w:val="000000"/>
          <w:sz w:val="21"/>
          <w:szCs w:val="21"/>
        </w:rPr>
        <w:t xml:space="preserve">Saisissez le code sous-segment et cliquez sur « Rechercher » (ou appuyez sur Entrée). Si plusieurs lignes correspondent au même code, un tableau de choix s'affiche pour sélectionner la bonne ligne.</w:t>
      </w:r>
    </w:p>
    <w:p>
      <w:pPr>
        <w:pStyle w:val="Heading2"/>
        <w:spacing w:after="160" w:before="360"/>
      </w:pPr>
      <w:r>
        <w:rPr>
          <w:b/>
          <w:bCs/>
          <w:color w:val="000000"/>
          <w:sz w:val="26"/>
          <w:szCs w:val="26"/>
        </w:rPr>
        <w:t xml:space="preserve">5.3. Relecture et correction</w:t>
      </w:r>
    </w:p>
    <w:p>
      <w:pPr>
        <w:spacing w:after="160"/>
      </w:pPr>
      <w:r>
        <w:rPr>
          <w:color w:val="000000"/>
          <w:sz w:val="21"/>
          <w:szCs w:val="21"/>
        </w:rPr>
        <w:t xml:space="preserve">Le formulaire qui apparaît est pré-rempli à partir de la ligne trouvée, selon le mapping du template. Chaque champ reste modifiable avant génération.</w:t>
      </w:r>
    </w:p>
    <w:p>
      <w:pPr>
        <w:pBdr>
          <w:left w:val="single" w:color="75787B" w:sz="12" w:space="8"/>
        </w:pBdr>
        <w:spacing w:after="200"/>
        <w:ind w:left="240"/>
      </w:pPr>
      <w:r>
        <w:rPr>
          <w:b/>
          <w:bCs/>
          <w:i/>
          <w:iCs/>
          <w:color w:val="75787B"/>
          <w:sz w:val="20"/>
          <w:szCs w:val="20"/>
        </w:rPr>
        <w:t xml:space="preserve">Note — </w:t>
      </w:r>
      <w:r>
        <w:rPr>
          <w:i/>
          <w:iCs/>
          <w:color w:val="000000"/>
          <w:sz w:val="20"/>
          <w:szCs w:val="20"/>
        </w:rPr>
        <w:t xml:space="preserve">Un champ vide signifie que la colonne mappée est vide dans le fichier de conditions — complétez-le si besoin. Si un message d'alerte rouge apparaît au-dessus du formulaire, c'est qu'une variable est mappée vers une colonne qui n'existe pas dans le fichier de conditions sélectionné pour cette génération : la valeur reste vide et doit être saisie manuellement.</w:t>
      </w:r>
    </w:p>
    <w:p>
      <w:pPr>
        <w:pStyle w:val="Heading2"/>
        <w:spacing w:after="160" w:before="360"/>
      </w:pPr>
      <w:r>
        <w:rPr>
          <w:b/>
          <w:bCs/>
          <w:color w:val="000000"/>
          <w:sz w:val="26"/>
          <w:szCs w:val="26"/>
        </w:rPr>
        <w:t xml:space="preserve">5.4. Génération et téléchargement</w:t>
      </w:r>
    </w:p>
    <w:p>
      <w:pPr>
        <w:spacing w:after="160"/>
      </w:pPr>
      <w:r>
        <w:rPr>
          <w:color w:val="000000"/>
          <w:sz w:val="21"/>
          <w:szCs w:val="21"/>
        </w:rPr>
        <w:t xml:space="preserve">Le bouton « Télécharger le contrat » produit le fichier Word final (nommé d'après le template et le code sous-segment) et enregistre la génération dans le journal des générations, consultable en bas de l'écran de suivi.</w:t>
      </w:r>
    </w:p>
    <w:p>
      <w:pPr>
        <w:pStyle w:val="Heading1"/>
        <w:pBdr>
          <w:bottom w:val="single" w:color="00874C" w:sz="8" w:space="4"/>
        </w:pBdr>
        <w:spacing w:after="240" w:before="480"/>
      </w:pPr>
      <w:r>
        <w:rPr>
          <w:b/>
          <w:bCs/>
          <w:color w:val="00874C"/>
          <w:sz w:val="32"/>
          <w:szCs w:val="32"/>
        </w:rPr>
        <w:t xml:space="preserve">6. Bonnes pratiques</w:t>
      </w:r>
    </w:p>
    <w:p>
      <w:pPr>
        <w:pStyle w:val="ListParagraph"/>
        <w:numPr>
          <w:ilvl w:val="0"/>
          <w:numId w:val="2"/>
        </w:numPr>
        <w:spacing w:after="80"/>
      </w:pPr>
      <w:r>
        <w:rPr>
          <w:color w:val="000000"/>
          <w:sz w:val="21"/>
          <w:szCs w:val="21"/>
        </w:rPr>
        <w:t xml:space="preserve">Vérifiez le statut du mapping d'un template après chaque nouvelle version du fichier de conditions commerciales.</w:t>
      </w:r>
    </w:p>
    <w:p>
      <w:pPr>
        <w:pStyle w:val="ListParagraph"/>
        <w:numPr>
          <w:ilvl w:val="0"/>
          <w:numId w:val="2"/>
        </w:numPr>
        <w:spacing w:after="80"/>
      </w:pPr>
      <w:r>
        <w:rPr>
          <w:color w:val="000000"/>
          <w:sz w:val="21"/>
          <w:szCs w:val="21"/>
        </w:rPr>
        <w:t xml:space="preserve">Utilisez le champ « Traité par » systématiquement : c'est la seule trace de qui a produit quel contrat, l'application ne demandant pas d'identification.</w:t>
      </w:r>
    </w:p>
    <w:p>
      <w:pPr>
        <w:pStyle w:val="ListParagraph"/>
        <w:numPr>
          <w:ilvl w:val="0"/>
          <w:numId w:val="2"/>
        </w:numPr>
        <w:spacing w:after="80"/>
      </w:pPr>
      <w:r>
        <w:rPr>
          <w:color w:val="000000"/>
          <w:sz w:val="21"/>
          <w:szCs w:val="21"/>
        </w:rPr>
        <w:t xml:space="preserve">Un fichier de conditions ou un template n'est jamais réellement perdu : privilégiez l'archivage à la suppression si un doute existe sur un usage futur.</w:t>
      </w:r>
    </w:p>
    <w:p>
      <w:pPr>
        <w:pStyle w:val="ListParagraph"/>
        <w:numPr>
          <w:ilvl w:val="0"/>
          <w:numId w:val="2"/>
        </w:numPr>
        <w:spacing w:after="80"/>
      </w:pPr>
      <w:r>
        <w:rPr>
          <w:color w:val="000000"/>
          <w:sz w:val="21"/>
          <w:szCs w:val="21"/>
        </w:rPr>
        <w:t xml:space="preserve">En cas de doublon de code sous-segment signalé au dépôt d'un fichier de conditions, corrigez le fichier source avant de vous fier à la recherche par code (la génération choisira la première ligne correspondante rencontrée).</w:t>
      </w:r>
    </w:p>
    <w:p>
      <w:pPr>
        <w:pStyle w:val="Heading1"/>
        <w:pBdr>
          <w:bottom w:val="single" w:color="00874C" w:sz="8" w:space="4"/>
        </w:pBdr>
        <w:spacing w:after="240" w:before="480"/>
      </w:pPr>
      <w:r>
        <w:rPr>
          <w:b/>
          <w:bCs/>
          <w:color w:val="00874C"/>
          <w:sz w:val="32"/>
          <w:szCs w:val="32"/>
        </w:rPr>
        <w:t xml:space="preserve">7. Dépannage</w:t>
      </w:r>
    </w:p>
    <w:p>
      <w:pPr>
        <w:pStyle w:val="Heading3"/>
        <w:spacing w:after="120" w:before="240"/>
      </w:pPr>
      <w:r>
        <w:rPr>
          <w:b/>
          <w:bCs/>
          <w:color w:val="00874C"/>
          <w:sz w:val="23"/>
          <w:szCs w:val="23"/>
        </w:rPr>
        <w:t xml:space="preserve">Le double-clic ne fait rien, ou le navigateur ne s'ouvre pas</w:t>
      </w:r>
    </w:p>
    <w:p>
      <w:pPr>
        <w:spacing w:after="160"/>
      </w:pPr>
      <w:r>
        <w:rPr>
          <w:color w:val="000000"/>
          <w:sz w:val="21"/>
          <w:szCs w:val="21"/>
        </w:rPr>
        <w:t xml:space="preserve">Vérifiez qu'aucune fenêtre de terminal d'une session précédente n'est déjà ouverte. Si le navigateur ne s'ouvre pas automatiquement, ouvrez-le manuellement sur http://localhost:4000 : l'adresse est aussi rappelée dans la fenêtre de terminal.</w:t>
      </w:r>
    </w:p>
    <w:p>
      <w:pPr>
        <w:pStyle w:val="Heading3"/>
        <w:spacing w:after="120" w:before="240"/>
      </w:pPr>
      <w:r>
        <w:rPr>
          <w:b/>
          <w:bCs/>
          <w:color w:val="00874C"/>
          <w:sz w:val="23"/>
          <w:szCs w:val="23"/>
        </w:rPr>
        <w:t xml:space="preserve">Windows affiche un avertissement de sécurité</w:t>
      </w:r>
    </w:p>
    <w:p>
      <w:pPr>
        <w:spacing w:after="160"/>
      </w:pPr>
      <w:r>
        <w:rPr>
          <w:color w:val="000000"/>
          <w:sz w:val="21"/>
          <w:szCs w:val="21"/>
        </w:rPr>
        <w:t xml:space="preserve">C'est SmartScreen qui réagit à un exécutable non signé numériquement, pas une alerte antivirus positive. Cliquez sur « Informations complémentaires » puis « Exécuter quand même ».</w:t>
      </w:r>
    </w:p>
    <w:p>
      <w:pPr>
        <w:pStyle w:val="Heading3"/>
        <w:spacing w:after="120" w:before="240"/>
      </w:pPr>
      <w:r>
        <w:rPr>
          <w:b/>
          <w:bCs/>
          <w:color w:val="00874C"/>
          <w:sz w:val="23"/>
          <w:szCs w:val="23"/>
        </w:rPr>
        <w:t xml:space="preserve">« Aucun template disponible » ou « mapping incomplet »</w:t>
      </w:r>
    </w:p>
    <w:p>
      <w:pPr>
        <w:spacing w:after="160"/>
      </w:pPr>
      <w:r>
        <w:rPr>
          <w:color w:val="000000"/>
          <w:sz w:val="21"/>
          <w:szCs w:val="21"/>
        </w:rPr>
        <w:t xml:space="preserve">Rendez-vous dans « 2. Templates de contrats », ouvrez « Gérer le mapping » sur le template concerné, et associez chaque variable en rouge/orange à une colonne ou marquez-la en saisie libre.</w:t>
      </w:r>
    </w:p>
    <w:p>
      <w:pPr>
        <w:pStyle w:val="Heading3"/>
        <w:spacing w:after="120" w:before="240"/>
      </w:pPr>
      <w:r>
        <w:rPr>
          <w:b/>
          <w:bCs/>
          <w:color w:val="00874C"/>
          <w:sz w:val="23"/>
          <w:szCs w:val="23"/>
        </w:rPr>
        <w:t xml:space="preserve">Le fichier Excel de conditions n'est pas lu correctement</w:t>
      </w:r>
    </w:p>
    <w:p>
      <w:pPr>
        <w:spacing w:after="160"/>
      </w:pPr>
      <w:r>
        <w:rPr>
          <w:color w:val="000000"/>
          <w:sz w:val="21"/>
          <w:szCs w:val="21"/>
        </w:rPr>
        <w:t xml:space="preserve">Le fichier doit être au format .xlsx, avec les en-têtes de colonnes sur la première ligne de la première feuille du classeur. Un fichier avec plusieurs onglets annexes ou des en-têtes fusionnés sur plusieurs lignes peut nécessiter une adaptation ponctuelle — contactez l'équipe technique en charge de l'application le cas échéant.</w:t>
      </w:r>
    </w:p>
    <w:p>
      <w:pPr>
        <w:pStyle w:val="Heading3"/>
        <w:spacing w:after="120" w:before="240"/>
      </w:pPr>
      <w:r>
        <w:rPr>
          <w:b/>
          <w:bCs/>
          <w:color w:val="00874C"/>
          <w:sz w:val="23"/>
          <w:szCs w:val="23"/>
        </w:rPr>
        <w:t xml:space="preserve">Une colonne mappée n'est plus proposée</w:t>
      </w:r>
    </w:p>
    <w:p>
      <w:pPr>
        <w:spacing w:after="160"/>
      </w:pPr>
      <w:r>
        <w:rPr>
          <w:color w:val="000000"/>
          <w:sz w:val="21"/>
          <w:szCs w:val="21"/>
        </w:rPr>
        <w:t xml:space="preserve">Cela arrive quand une nouvelle version du fichier de conditions a renommé ou supprimé la colonne utilisée par le mapping d'un template. Il suffit de rouvrir le mapping du template concerné et de réassocier la variable à la colonne correspondante dans le nouveau fichier.</w:t>
      </w:r>
    </w:p>
    <w:p>
      <w:pPr>
        <w:pStyle w:val="Heading1"/>
        <w:pBdr>
          <w:bottom w:val="single" w:color="00874C" w:sz="8" w:space="4"/>
        </w:pBdr>
        <w:spacing w:after="240" w:before="480"/>
      </w:pPr>
      <w:r>
        <w:rPr>
          <w:b/>
          <w:bCs/>
          <w:color w:val="00874C"/>
          <w:sz w:val="32"/>
          <w:szCs w:val="32"/>
        </w:rPr>
        <w:t xml:space="preserve">8. Glossaire</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400"/>
        <w:gridCol w:w="7600"/>
      </w:tblGrid>
      <w:tr>
        <w:trPr>
          <w:tblHeader/>
        </w:trPr>
        <w:tc>
          <w:tcPr>
            <w:tcW w:type="dxa" w:w="2400"/>
            <w:shd w:fill="00874C" w:val="clear"/>
            <w:tcMar>
              <w:top w:type="dxa" w:w="80"/>
              <w:left w:type="dxa" w:w="100"/>
              <w:bottom w:type="dxa" w:w="80"/>
              <w:right w:type="dxa" w:w="100"/>
            </w:tcMar>
          </w:tcPr>
          <w:p>
            <w:pPr>
              <w:jc w:val="left"/>
            </w:pPr>
            <w:r>
              <w:rPr>
                <w:b/>
                <w:bCs/>
                <w:color w:val="FFFFFF"/>
                <w:sz w:val="20"/>
                <w:szCs w:val="20"/>
              </w:rPr>
              <w:t xml:space="preserve">Terme</w:t>
            </w:r>
          </w:p>
        </w:tc>
        <w:tc>
          <w:tcPr>
            <w:tcW w:type="dxa" w:w="7600"/>
            <w:shd w:fill="00874C" w:val="clear"/>
            <w:tcMar>
              <w:top w:type="dxa" w:w="80"/>
              <w:left w:type="dxa" w:w="100"/>
              <w:bottom w:type="dxa" w:w="80"/>
              <w:right w:type="dxa" w:w="100"/>
            </w:tcMar>
          </w:tcPr>
          <w:p>
            <w:pPr>
              <w:jc w:val="left"/>
            </w:pPr>
            <w:r>
              <w:rPr>
                <w:b/>
                <w:bCs/>
                <w:color w:val="FFFFFF"/>
                <w:sz w:val="20"/>
                <w:szCs w:val="20"/>
              </w:rPr>
              <w:t xml:space="preserve">Définition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Version</w:t>
            </w:r>
          </w:p>
        </w:tc>
        <w:tc>
          <w:tcPr>
            <w:tcW w:type="dxa" w:w="7600"/>
            <w:tcMar>
              <w:top w:type="dxa" w:w="80"/>
              <w:left w:type="dxa" w:w="100"/>
              <w:bottom w:type="dxa" w:w="80"/>
              <w:right w:type="dxa" w:w="100"/>
            </w:tcMar>
          </w:tcPr>
          <w:p>
            <w:pPr>
              <w:jc w:val="left"/>
            </w:pPr>
            <w:r>
              <w:rPr>
                <w:b w:val="false"/>
                <w:bCs w:val="false"/>
                <w:color w:val="000000"/>
                <w:sz w:val="20"/>
                <w:szCs w:val="20"/>
              </w:rPr>
              <w:t xml:space="preserve">Un dépôt donné d'un fichier (conditions ou template) ; les versions précédentes restent consultables.</w:t>
            </w:r>
          </w:p>
        </w:tc>
      </w:tr>
      <w:tr>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Version active</w:t>
            </w:r>
          </w:p>
        </w:tc>
        <w:tc>
          <w:tcPr>
            <w:tcW w:type="dxa" w:w="7600"/>
            <w:shd w:fill="F5F6F8" w:val="clear"/>
            <w:tcMar>
              <w:top w:type="dxa" w:w="80"/>
              <w:left w:type="dxa" w:w="100"/>
              <w:bottom w:type="dxa" w:w="80"/>
              <w:right w:type="dxa" w:w="100"/>
            </w:tcMar>
          </w:tcPr>
          <w:p>
            <w:pPr>
              <w:jc w:val="left"/>
            </w:pPr>
            <w:r>
              <w:rPr>
                <w:b w:val="false"/>
                <w:bCs w:val="false"/>
                <w:color w:val="000000"/>
                <w:sz w:val="20"/>
                <w:szCs w:val="20"/>
              </w:rPr>
              <w:t xml:space="preserve">La version du fichier de conditions commerciales utilisée par défaut pour la génération.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Groupe (template)</w:t>
            </w:r>
          </w:p>
        </w:tc>
        <w:tc>
          <w:tcPr>
            <w:tcW w:type="dxa" w:w="7600"/>
            <w:tcMar>
              <w:top w:type="dxa" w:w="80"/>
              <w:left w:type="dxa" w:w="100"/>
              <w:bottom w:type="dxa" w:w="80"/>
              <w:right w:type="dxa" w:w="100"/>
            </w:tcMar>
          </w:tcPr>
          <w:p>
            <w:pPr>
              <w:jc w:val="left"/>
            </w:pPr>
            <w:r>
              <w:rPr>
                <w:b w:val="false"/>
                <w:bCs w:val="false"/>
                <w:color w:val="000000"/>
                <w:sz w:val="20"/>
                <w:szCs w:val="20"/>
              </w:rPr>
              <w:t xml:space="preserve">L'identifiant commun à toutes les versions successives d'un même template.</w:t>
            </w:r>
          </w:p>
        </w:tc>
      </w:tr>
      <w:tr>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Variable</w:t>
            </w:r>
          </w:p>
        </w:tc>
        <w:tc>
          <w:tcPr>
            <w:tcW w:type="dxa" w:w="7600"/>
            <w:shd w:fill="F5F6F8" w:val="clear"/>
            <w:tcMar>
              <w:top w:type="dxa" w:w="80"/>
              <w:left w:type="dxa" w:w="100"/>
              <w:bottom w:type="dxa" w:w="80"/>
              <w:right w:type="dxa" w:w="100"/>
            </w:tcMar>
          </w:tcPr>
          <w:p>
            <w:pPr>
              <w:jc w:val="left"/>
            </w:pPr>
            <w:r>
              <w:rPr>
                <w:b w:val="false"/>
                <w:bCs w:val="false"/>
                <w:color w:val="000000"/>
                <w:sz w:val="20"/>
                <w:szCs w:val="20"/>
              </w:rPr>
              <w:t xml:space="preserve">Balise {{Nom}} dans un template Word, à remplacer par une valeur lors de la génération.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Mapping</w:t>
            </w:r>
          </w:p>
        </w:tc>
        <w:tc>
          <w:tcPr>
            <w:tcW w:type="dxa" w:w="7600"/>
            <w:tcMar>
              <w:top w:type="dxa" w:w="80"/>
              <w:left w:type="dxa" w:w="100"/>
              <w:bottom w:type="dxa" w:w="80"/>
              <w:right w:type="dxa" w:w="100"/>
            </w:tcMar>
          </w:tcPr>
          <w:p>
            <w:pPr>
              <w:jc w:val="left"/>
            </w:pPr>
            <w:r>
              <w:rPr>
                <w:b w:val="false"/>
                <w:bCs w:val="false"/>
                <w:color w:val="000000"/>
                <w:sz w:val="20"/>
                <w:szCs w:val="20"/>
              </w:rPr>
              <w:t xml:space="preserve">La correspondance entre chaque variable d'un template et une colonne du fichier de conditions (ou « saisie libre »).</w:t>
            </w:r>
          </w:p>
        </w:tc>
      </w:tr>
      <w:tr>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Code sous-segment</w:t>
            </w:r>
          </w:p>
        </w:tc>
        <w:tc>
          <w:tcPr>
            <w:tcW w:type="dxa" w:w="7600"/>
            <w:shd w:fill="F5F6F8" w:val="clear"/>
            <w:tcMar>
              <w:top w:type="dxa" w:w="80"/>
              <w:left w:type="dxa" w:w="100"/>
              <w:bottom w:type="dxa" w:w="80"/>
              <w:right w:type="dxa" w:w="100"/>
            </w:tcMar>
          </w:tcPr>
          <w:p>
            <w:pPr>
              <w:jc w:val="left"/>
            </w:pPr>
            <w:r>
              <w:rPr>
                <w:b w:val="false"/>
                <w:bCs w:val="false"/>
                <w:color w:val="000000"/>
                <w:sz w:val="20"/>
                <w:szCs w:val="20"/>
              </w:rPr>
              <w:t xml:space="preserve">Identifiant utilisé pour rechercher la ligne de conditions correspondant à un fournisseur/une marque donnée.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Journal des générations</w:t>
            </w:r>
          </w:p>
        </w:tc>
        <w:tc>
          <w:tcPr>
            <w:tcW w:type="dxa" w:w="7600"/>
            <w:tcMar>
              <w:top w:type="dxa" w:w="80"/>
              <w:left w:type="dxa" w:w="100"/>
              <w:bottom w:type="dxa" w:w="80"/>
              <w:right w:type="dxa" w:w="100"/>
            </w:tcMar>
          </w:tcPr>
          <w:p>
            <w:pPr>
              <w:jc w:val="left"/>
            </w:pPr>
            <w:r>
              <w:rPr>
                <w:b w:val="false"/>
                <w:bCs w:val="false"/>
                <w:color w:val="000000"/>
                <w:sz w:val="20"/>
                <w:szCs w:val="20"/>
              </w:rPr>
              <w:t xml:space="preserve">Historique de tous les contrats produits (template, fichier de conditions, code, date, auteur).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87B"/>
        <w:sz w:val="16"/>
        <w:szCs w:val="16"/>
      </w:rPr>
      <w:t xml:space="preserve">Générateur de contrats fournisseurs — page </w:t>
    </w:r>
    <w:r>
      <w:rPr>
        <w:color w:val="75787B"/>
        <w:sz w:val="16"/>
        <w:szCs w:val="16"/>
      </w:rPr>
      <w:fldChar w:fldCharType="begin"/>
      <w:instrText xml:space="preserve">PAGE</w:instrText>
      <w:fldChar w:fldCharType="separate"/>
      <w:fldChar w:fldCharType="end"/>
    </w:r>
    <w:r>
      <w:rPr>
        <w:color w:val="75787B"/>
        <w:sz w:val="16"/>
        <w:szCs w:val="16"/>
      </w:rPr>
      <w:t xml:space="preserve"> / </w:t>
    </w:r>
    <w:r>
      <w:rPr>
        <w:color w:val="7578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6" w:sz="4" w:space="4"/>
      </w:pBdr>
      <w:jc w:val="right"/>
    </w:pPr>
    <w:r>
      <w:rPr>
        <w:b/>
        <w:bCs/>
        <w:color w:val="75787B"/>
        <w:sz w:val="16"/>
        <w:szCs w:val="16"/>
      </w:rPr>
      <w:t xml:space="preserve">PRINTEMPS</w:t>
    </w:r>
    <w:r>
      <w:rPr>
        <w:color w:val="75787B"/>
        <w:sz w:val="16"/>
        <w:szCs w:val="16"/>
      </w:rPr>
      <w:t xml:space="preserve">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2026-08-12T13:02:53.873Z</dcterms:created>
  <dcterms:modified xsi:type="dcterms:W3CDTF">2026-08-12T13:02:53.873Z</dcterms:modified>
</cp:coreProperties>
</file>

<file path=docProps/custom.xml><?xml version="1.0" encoding="utf-8"?>
<Properties xmlns="http://schemas.openxmlformats.org/officeDocument/2006/custom-properties" xmlns:vt="http://schemas.openxmlformats.org/officeDocument/2006/docPropsVTypes"/>
</file>