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75787B"/>
          <w:spacing w:val="40"/>
          <w:sz w:val="28"/>
          <w:szCs w:val="28"/>
        </w:rPr>
        <w:t xml:space="preserve">PRINTEMPS</w:t>
      </w:r>
    </w:p>
    <w:p>
      <w:pPr>
        <w:pBdr>
          <w:bottom w:val="single" w:color="B8860B" w:sz="12" w:space="8"/>
        </w:pBdr>
        <w:spacing w:after="200" w:before="200"/>
      </w:pPr>
      <w:r>
        <w:rPr>
          <w:sz w:val="4"/>
          <w:szCs w:val="4"/>
        </w:rPr>
        <w:t xml:space="preserve"> </w:t>
      </w:r>
    </w:p>
    <w:p>
      <w:pPr>
        <w:spacing w:before="400"/>
      </w:pPr>
      <w:r>
        <w:rPr>
          <w:b/>
          <w:bCs/>
          <w:color w:val="00874C"/>
          <w:sz w:val="56"/>
          <w:szCs w:val="56"/>
        </w:rPr>
        <w:t xml:space="preserve">Générateur de contrats fournisseurs</w:t>
      </w:r>
    </w:p>
    <w:p>
      <w:pPr>
        <w:spacing w:after="800" w:before="200"/>
      </w:pPr>
      <w:r>
        <w:rPr>
          <w:color w:val="000000"/>
          <w:sz w:val="28"/>
          <w:szCs w:val="28"/>
        </w:rPr>
        <w:t xml:space="preserve">Cahier des charges</w:t>
      </w:r>
    </w:p>
    <w:p>
      <w:pPr>
        <w:spacing w:after="80"/>
      </w:pPr>
      <w:r>
        <w:rPr>
          <w:b/>
          <w:bCs/>
          <w:color w:val="75787B"/>
          <w:sz w:val="22"/>
          <w:szCs w:val="22"/>
        </w:rPr>
        <w:t xml:space="preserve">Application : </w:t>
      </w:r>
      <w:r>
        <w:rPr>
          <w:color w:val="000000"/>
          <w:sz w:val="22"/>
          <w:szCs w:val="22"/>
        </w:rPr>
        <w:t xml:space="preserve">Achats — Contrats fournisseurs</w:t>
      </w:r>
    </w:p>
    <w:p>
      <w:pPr>
        <w:spacing w:after="80"/>
      </w:pPr>
      <w:r>
        <w:rPr>
          <w:b/>
          <w:bCs/>
          <w:color w:val="75787B"/>
          <w:sz w:val="22"/>
          <w:szCs w:val="22"/>
        </w:rPr>
        <w:t xml:space="preserve">Direction concernée : </w:t>
      </w:r>
      <w:r>
        <w:rPr>
          <w:color w:val="000000"/>
          <w:sz w:val="22"/>
          <w:szCs w:val="22"/>
        </w:rPr>
        <w:t xml:space="preserve">Direction des Achats — Printemps</w:t>
      </w:r>
    </w:p>
    <w:p>
      <w:pPr>
        <w:spacing w:after="80"/>
      </w:pPr>
      <w:r>
        <w:rPr>
          <w:b/>
          <w:bCs/>
          <w:color w:val="75787B"/>
          <w:sz w:val="22"/>
          <w:szCs w:val="22"/>
        </w:rPr>
        <w:t xml:space="preserve">Version du document : </w:t>
      </w:r>
      <w:r>
        <w:rPr>
          <w:color w:val="000000"/>
          <w:sz w:val="22"/>
          <w:szCs w:val="22"/>
        </w:rPr>
        <w:t xml:space="preserve">2.0</w:t>
      </w:r>
    </w:p>
    <w:p>
      <w:pPr>
        <w:spacing w:after="80"/>
      </w:pPr>
      <w:r>
        <w:rPr>
          <w:b/>
          <w:bCs/>
          <w:color w:val="75787B"/>
          <w:sz w:val="22"/>
          <w:szCs w:val="22"/>
        </w:rPr>
        <w:t xml:space="preserve">Statut : </w:t>
      </w:r>
      <w:r>
        <w:rPr>
          <w:color w:val="000000"/>
          <w:sz w:val="22"/>
          <w:szCs w:val="22"/>
        </w:rPr>
        <w:t xml:space="preserve">Application existante — document de référence du périmètre livré, deux modes de déploiement</w:t>
      </w:r>
    </w:p>
    <w:p>
      <w:r>
        <w:br w:type="page"/>
      </w:r>
    </w:p>
    <w:p>
      <w:pPr>
        <w:pStyle w:val="Heading1"/>
        <w:pBdr>
          <w:bottom w:val="single" w:color="00874C" w:sz="8" w:space="4"/>
        </w:pBdr>
        <w:spacing w:after="240" w:before="480"/>
      </w:pPr>
      <w:r>
        <w:rPr>
          <w:b/>
          <w:bCs/>
          <w:color w:val="00874C"/>
          <w:sz w:val="32"/>
          <w:szCs w:val="32"/>
        </w:rPr>
        <w:t xml:space="preserve">1. Contexte et objectifs</w:t>
      </w:r>
    </w:p>
    <w:p>
      <w:pPr>
        <w:pStyle w:val="Heading2"/>
        <w:spacing w:after="160" w:before="360"/>
      </w:pPr>
      <w:r>
        <w:rPr>
          <w:b/>
          <w:bCs/>
          <w:color w:val="000000"/>
          <w:sz w:val="26"/>
          <w:szCs w:val="26"/>
        </w:rPr>
        <w:t xml:space="preserve">1.1. Contexte</w:t>
      </w:r>
    </w:p>
    <w:p>
      <w:pPr>
        <w:spacing w:after="160"/>
      </w:pPr>
      <w:r>
        <w:rPr>
          <w:color w:val="000000"/>
          <w:sz w:val="21"/>
          <w:szCs w:val="21"/>
        </w:rPr>
        <w:t xml:space="preserve">La Direction des Achats négocie, pour chaque fournisseur/code sous-segment, des conditions commerciales consignées dans un fichier Excel de référence, mis à jour périodiquement. Les contrats correspondants sont rédigés à partir de templates Word contenant des champs à compléter manuellement à partir de ce fichier — une opération répétitive et sujette à erreur (champ oublié, valeur mal recopiée, incohérence entre le contrat et le fichier de référence au moment de la génération).</w:t>
      </w:r>
    </w:p>
    <w:p>
      <w:pPr>
        <w:pStyle w:val="Heading2"/>
        <w:spacing w:after="160" w:before="360"/>
      </w:pPr>
      <w:r>
        <w:rPr>
          <w:b/>
          <w:bCs/>
          <w:color w:val="000000"/>
          <w:sz w:val="26"/>
          <w:szCs w:val="26"/>
        </w:rPr>
        <w:t xml:space="preserve">1.2. Objectifs</w:t>
      </w:r>
    </w:p>
    <w:p>
      <w:pPr>
        <w:pStyle w:val="ListParagraph"/>
        <w:numPr>
          <w:ilvl w:val="0"/>
          <w:numId w:val="2"/>
        </w:numPr>
        <w:spacing w:after="80"/>
      </w:pPr>
      <w:r>
        <w:rPr>
          <w:color w:val="000000"/>
          <w:sz w:val="21"/>
          <w:szCs w:val="21"/>
        </w:rPr>
        <w:t xml:space="preserve">Historiser les fichiers de conditions commerciales et les templates de contrat, sans jamais écraser une version antérieure.</w:t>
      </w:r>
    </w:p>
    <w:p>
      <w:pPr>
        <w:pStyle w:val="ListParagraph"/>
        <w:numPr>
          <w:ilvl w:val="0"/>
          <w:numId w:val="2"/>
        </w:numPr>
        <w:spacing w:after="80"/>
      </w:pPr>
      <w:r>
        <w:rPr>
          <w:color w:val="000000"/>
          <w:sz w:val="21"/>
          <w:szCs w:val="21"/>
        </w:rPr>
        <w:t xml:space="preserve">Fiabiliser le remplissage des contrats en automatisant la reprise des valeurs depuis le fichier de conditions, plutôt que par recopie manuelle.</w:t>
      </w:r>
    </w:p>
    <w:p>
      <w:pPr>
        <w:pStyle w:val="ListParagraph"/>
        <w:numPr>
          <w:ilvl w:val="0"/>
          <w:numId w:val="2"/>
        </w:numPr>
        <w:spacing w:after="80"/>
      </w:pPr>
      <w:r>
        <w:rPr>
          <w:color w:val="000000"/>
          <w:sz w:val="21"/>
          <w:szCs w:val="21"/>
        </w:rPr>
        <w:t xml:space="preserve">Détecter et empêcher la génération d'un contrat lorsque la correspondance entre le template et le fichier de conditions est incomplète ou devenue invalide.</w:t>
      </w:r>
    </w:p>
    <w:p>
      <w:pPr>
        <w:pStyle w:val="ListParagraph"/>
        <w:numPr>
          <w:ilvl w:val="0"/>
          <w:numId w:val="2"/>
        </w:numPr>
        <w:spacing w:after="80"/>
      </w:pPr>
      <w:r>
        <w:rPr>
          <w:color w:val="000000"/>
          <w:sz w:val="21"/>
          <w:szCs w:val="21"/>
        </w:rPr>
        <w:t xml:space="preserve">Conserver une traçabilité de chaque contrat produit (quel template, quel fichier de conditions, quel code, par qui, quand).</w:t>
      </w:r>
    </w:p>
    <w:p>
      <w:pPr>
        <w:pStyle w:val="ListParagraph"/>
        <w:numPr>
          <w:ilvl w:val="0"/>
          <w:numId w:val="2"/>
        </w:numPr>
        <w:spacing w:after="80"/>
      </w:pPr>
      <w:r>
        <w:rPr>
          <w:color w:val="000000"/>
          <w:sz w:val="21"/>
          <w:szCs w:val="21"/>
        </w:rPr>
        <w:t xml:space="preserve">Fournir une application autonome, installable sans compétence informatique particulière sur un poste Windows, sans dépendance à un service externe.</w:t>
      </w:r>
    </w:p>
    <w:p>
      <w:pPr>
        <w:pStyle w:val="ListParagraph"/>
        <w:numPr>
          <w:ilvl w:val="0"/>
          <w:numId w:val="2"/>
        </w:numPr>
        <w:spacing w:after="80"/>
      </w:pPr>
      <w:r>
        <w:rPr>
          <w:color w:val="000000"/>
          <w:sz w:val="21"/>
          <w:szCs w:val="21"/>
        </w:rPr>
        <w:t xml:space="preserve">Permettre également un accès partagé, sans installation sur le poste, via intégration dans l'environnement collaboratif existant (SharePoint Online) pour les équipes qui le souhaitent.</w:t>
      </w:r>
    </w:p>
    <w:p>
      <w:pPr>
        <w:pStyle w:val="Heading1"/>
        <w:pBdr>
          <w:bottom w:val="single" w:color="00874C" w:sz="8" w:space="4"/>
        </w:pBdr>
        <w:spacing w:after="240" w:before="480"/>
      </w:pPr>
      <w:r>
        <w:rPr>
          <w:b/>
          <w:bCs/>
          <w:color w:val="00874C"/>
          <w:sz w:val="32"/>
          <w:szCs w:val="32"/>
        </w:rPr>
        <w:t xml:space="preserve">2. Périmètre fonctionnel</w:t>
      </w:r>
    </w:p>
    <w:p>
      <w:pPr>
        <w:spacing w:after="160"/>
      </w:pPr>
      <w:r>
        <w:rPr>
          <w:color w:val="000000"/>
          <w:sz w:val="21"/>
          <w:szCs w:val="21"/>
        </w:rPr>
        <w:t xml:space="preserve">L'application existe sous deux formes de déploiement au fonctionnel strictement identique (mêmes trois modules, mêmes règles métier) — seul le mode d'accès et de stockage des données diffère (voir spécifications techniques) :</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3400"/>
        <w:gridCol w:w="3300"/>
        <w:gridCol w:w="3300"/>
      </w:tblGrid>
      <w:tr>
        <w:trPr>
          <w:tblHeader/>
        </w:trPr>
        <w:tc>
          <w:tcPr>
            <w:tcW w:type="dxa" w:w="3400"/>
            <w:shd w:fill="00874C" w:val="clear"/>
            <w:tcMar>
              <w:top w:type="dxa" w:w="80"/>
              <w:left w:type="dxa" w:w="100"/>
              <w:bottom w:type="dxa" w:w="80"/>
              <w:right w:type="dxa" w:w="100"/>
            </w:tcMar>
          </w:tcPr>
          <w:p>
            <w:pPr>
              <w:jc w:val="left"/>
            </w:pPr>
            <w:r>
              <w:rPr>
                <w:b/>
                <w:bCs/>
                <w:color w:val="FFFFFF"/>
                <w:sz w:val="20"/>
                <w:szCs w:val="20"/>
              </w:rPr>
              <w:t xml:space="preserve">Mode</w:t>
            </w:r>
          </w:p>
        </w:tc>
        <w:tc>
          <w:tcPr>
            <w:tcW w:type="dxa" w:w="3300"/>
            <w:shd w:fill="00874C" w:val="clear"/>
            <w:tcMar>
              <w:top w:type="dxa" w:w="80"/>
              <w:left w:type="dxa" w:w="100"/>
              <w:bottom w:type="dxa" w:w="80"/>
              <w:right w:type="dxa" w:w="100"/>
            </w:tcMar>
          </w:tcPr>
          <w:p>
            <w:pPr>
              <w:jc w:val="left"/>
            </w:pPr>
            <w:r>
              <w:rPr>
                <w:b/>
                <w:bCs/>
                <w:color w:val="FFFFFF"/>
                <w:sz w:val="20"/>
                <w:szCs w:val="20"/>
              </w:rPr>
              <w:t xml:space="preserve">Accès</w:t>
            </w:r>
          </w:p>
        </w:tc>
        <w:tc>
          <w:tcPr>
            <w:tcW w:type="dxa" w:w="3300"/>
            <w:shd w:fill="00874C" w:val="clear"/>
            <w:tcMar>
              <w:top w:type="dxa" w:w="80"/>
              <w:left w:type="dxa" w:w="100"/>
              <w:bottom w:type="dxa" w:w="80"/>
              <w:right w:type="dxa" w:w="100"/>
            </w:tcMar>
          </w:tcPr>
          <w:p>
            <w:pPr>
              <w:jc w:val="left"/>
            </w:pPr>
            <w:r>
              <w:rPr>
                <w:b/>
                <w:bCs/>
                <w:color w:val="FFFFFF"/>
                <w:sz w:val="20"/>
                <w:szCs w:val="20"/>
              </w:rPr>
              <w:t xml:space="preserve">Stockage des données</w:t>
            </w:r>
          </w:p>
        </w:tc>
      </w:tr>
      <w:tr>
        <w:tc>
          <w:tcPr>
            <w:tcW w:type="dxa" w:w="3400"/>
            <w:tcMar>
              <w:top w:type="dxa" w:w="80"/>
              <w:left w:type="dxa" w:w="100"/>
              <w:bottom w:type="dxa" w:w="80"/>
              <w:right w:type="dxa" w:w="100"/>
            </w:tcMar>
          </w:tcPr>
          <w:p>
            <w:pPr>
              <w:jc w:val="left"/>
            </w:pPr>
            <w:r>
              <w:rPr>
                <w:b w:val="false"/>
                <w:bCs w:val="false"/>
                <w:color w:val="000000"/>
                <w:sz w:val="20"/>
                <w:szCs w:val="20"/>
              </w:rPr>
              <w:t xml:space="preserve">Exécutable Windows autonome</w:t>
            </w:r>
          </w:p>
        </w:tc>
        <w:tc>
          <w:tcPr>
            <w:tcW w:type="dxa" w:w="3300"/>
            <w:tcMar>
              <w:top w:type="dxa" w:w="80"/>
              <w:left w:type="dxa" w:w="100"/>
              <w:bottom w:type="dxa" w:w="80"/>
              <w:right w:type="dxa" w:w="100"/>
            </w:tcMar>
          </w:tcPr>
          <w:p>
            <w:pPr>
              <w:jc w:val="left"/>
            </w:pPr>
            <w:r>
              <w:rPr>
                <w:b w:val="false"/>
                <w:bCs w:val="false"/>
                <w:color w:val="000000"/>
                <w:sz w:val="20"/>
                <w:szCs w:val="20"/>
              </w:rPr>
              <w:t xml:space="preserve">Double-clic sur un poste dédié, hors ligne</w:t>
            </w:r>
          </w:p>
        </w:tc>
        <w:tc>
          <w:tcPr>
            <w:tcW w:type="dxa" w:w="3300"/>
            <w:tcMar>
              <w:top w:type="dxa" w:w="80"/>
              <w:left w:type="dxa" w:w="100"/>
              <w:bottom w:type="dxa" w:w="80"/>
              <w:right w:type="dxa" w:w="100"/>
            </w:tcMar>
          </w:tcPr>
          <w:p>
            <w:pPr>
              <w:jc w:val="left"/>
            </w:pPr>
            <w:r>
              <w:rPr>
                <w:b w:val="false"/>
                <w:bCs w:val="false"/>
                <w:color w:val="000000"/>
                <w:sz w:val="20"/>
                <w:szCs w:val="20"/>
              </w:rPr>
              <w:t xml:space="preserve">Fichiers JSON + fichiers déposés, à côté de l'exécutable</w:t>
            </w:r>
          </w:p>
        </w:tc>
      </w:tr>
      <w:tr>
        <w:tc>
          <w:tcPr>
            <w:tcW w:type="dxa" w:w="3400"/>
            <w:shd w:fill="F5F6F8" w:val="clear"/>
            <w:tcMar>
              <w:top w:type="dxa" w:w="80"/>
              <w:left w:type="dxa" w:w="100"/>
              <w:bottom w:type="dxa" w:w="80"/>
              <w:right w:type="dxa" w:w="100"/>
            </w:tcMar>
          </w:tcPr>
          <w:p>
            <w:pPr>
              <w:jc w:val="left"/>
            </w:pPr>
            <w:r>
              <w:rPr>
                <w:b w:val="false"/>
                <w:bCs w:val="false"/>
                <w:color w:val="000000"/>
                <w:sz w:val="20"/>
                <w:szCs w:val="20"/>
              </w:rPr>
              <w:t xml:space="preserve">Web part SharePoint Online (SPFx)</w:t>
            </w:r>
          </w:p>
        </w:tc>
        <w:tc>
          <w:tcPr>
            <w:tcW w:type="dxa" w:w="3300"/>
            <w:shd w:fill="F5F6F8" w:val="clear"/>
            <w:tcMar>
              <w:top w:type="dxa" w:w="80"/>
              <w:left w:type="dxa" w:w="100"/>
              <w:bottom w:type="dxa" w:w="80"/>
              <w:right w:type="dxa" w:w="100"/>
            </w:tcMar>
          </w:tcPr>
          <w:p>
            <w:pPr>
              <w:jc w:val="left"/>
            </w:pPr>
            <w:r>
              <w:rPr>
                <w:b w:val="false"/>
                <w:bCs w:val="false"/>
                <w:color w:val="000000"/>
                <w:sz w:val="20"/>
                <w:szCs w:val="20"/>
              </w:rPr>
              <w:t xml:space="preserve">Page d'un site SharePoint, navigateur, sans installation</w:t>
            </w:r>
          </w:p>
        </w:tc>
        <w:tc>
          <w:tcPr>
            <w:tcW w:type="dxa" w:w="3300"/>
            <w:shd w:fill="F5F6F8" w:val="clear"/>
            <w:tcMar>
              <w:top w:type="dxa" w:w="80"/>
              <w:left w:type="dxa" w:w="100"/>
              <w:bottom w:type="dxa" w:w="80"/>
              <w:right w:type="dxa" w:w="100"/>
            </w:tcMar>
          </w:tcPr>
          <w:p>
            <w:pPr>
              <w:jc w:val="left"/>
            </w:pPr>
            <w:r>
              <w:rPr>
                <w:b w:val="false"/>
                <w:bCs w:val="false"/>
                <w:color w:val="000000"/>
                <w:sz w:val="20"/>
                <w:szCs w:val="20"/>
              </w:rPr>
              <w:t xml:space="preserve">Listes et bibliothèques SharePoint du site, provisionnées automatiquement au premier chargement</w:t>
            </w:r>
          </w:p>
        </w:tc>
      </w:tr>
    </w:tbl>
    <w:p>
      <w:pPr>
        <w:pStyle w:val="Heading2"/>
        <w:spacing w:after="160" w:before="360"/>
      </w:pPr>
      <w:r>
        <w:rPr>
          <w:b/>
          <w:bCs/>
          <w:color w:val="000000"/>
          <w:sz w:val="26"/>
          <w:szCs w:val="26"/>
        </w:rPr>
        <w:t xml:space="preserve">2.1. Modules livrés</w:t>
      </w:r>
    </w:p>
    <w:p>
      <w:pPr>
        <w:pStyle w:val="ListParagraph"/>
        <w:numPr>
          <w:ilvl w:val="0"/>
          <w:numId w:val="3"/>
        </w:numPr>
        <w:spacing w:after="100"/>
      </w:pPr>
      <w:r>
        <w:rPr>
          <w:b/>
          <w:bCs/>
          <w:sz w:val="21"/>
          <w:szCs w:val="21"/>
        </w:rPr>
        <w:t xml:space="preserve">Conditions commerciales</w:t>
      </w:r>
      <w:r>
        <w:rPr>
          <w:sz w:val="21"/>
          <w:szCs w:val="21"/>
        </w:rPr>
        <w:t xml:space="preserve"> — dépôt, historisation et activation des fichiers Excel de conditions fournisseurs.</w:t>
      </w:r>
    </w:p>
    <w:p>
      <w:pPr>
        <w:pStyle w:val="ListParagraph"/>
        <w:numPr>
          <w:ilvl w:val="0"/>
          <w:numId w:val="3"/>
        </w:numPr>
        <w:spacing w:after="100"/>
      </w:pPr>
      <w:r>
        <w:rPr>
          <w:b/>
          <w:bCs/>
          <w:sz w:val="21"/>
          <w:szCs w:val="21"/>
        </w:rPr>
        <w:t xml:space="preserve">Templates de contrats</w:t>
      </w:r>
      <w:r>
        <w:rPr>
          <w:sz w:val="21"/>
          <w:szCs w:val="21"/>
        </w:rPr>
        <w:t xml:space="preserve"> — dépôt et versionnement des modèles Word, mise en correspondance de leurs variables avec les colonnes du fichier de conditions.</w:t>
      </w:r>
    </w:p>
    <w:p>
      <w:pPr>
        <w:pStyle w:val="ListParagraph"/>
        <w:numPr>
          <w:ilvl w:val="0"/>
          <w:numId w:val="3"/>
        </w:numPr>
        <w:spacing w:after="100"/>
      </w:pPr>
      <w:r>
        <w:rPr>
          <w:b/>
          <w:bCs/>
          <w:sz w:val="21"/>
          <w:szCs w:val="21"/>
        </w:rPr>
        <w:t xml:space="preserve">Génération de contrat</w:t>
      </w:r>
      <w:r>
        <w:rPr>
          <w:sz w:val="21"/>
          <w:szCs w:val="21"/>
        </w:rPr>
        <w:t xml:space="preserve"> — recherche d'un code sous-segment, pré-remplissage, relecture/correction, production du document final et journalisation.</w:t>
      </w:r>
    </w:p>
    <w:p>
      <w:pPr>
        <w:pStyle w:val="Heading2"/>
        <w:spacing w:after="160" w:before="360"/>
      </w:pPr>
      <w:r>
        <w:rPr>
          <w:b/>
          <w:bCs/>
          <w:color w:val="000000"/>
          <w:sz w:val="26"/>
          <w:szCs w:val="26"/>
        </w:rPr>
        <w:t xml:space="preserve">2.2. Hors périmètre</w:t>
      </w:r>
    </w:p>
    <w:p>
      <w:pPr>
        <w:pStyle w:val="ListParagraph"/>
        <w:numPr>
          <w:ilvl w:val="0"/>
          <w:numId w:val="2"/>
        </w:numPr>
        <w:spacing w:after="80"/>
      </w:pPr>
      <w:r>
        <w:rPr>
          <w:color w:val="000000"/>
          <w:sz w:val="21"/>
          <w:szCs w:val="21"/>
        </w:rPr>
        <w:t xml:space="preserve">Gestion des utilisateurs, authentification, droits d'accès différenciés spécifiques à l'application (la version SharePoint hérite des permissions standard du site, mais l'application elle-même ne gère aucun compte).</w:t>
      </w:r>
    </w:p>
    <w:p>
      <w:pPr>
        <w:pStyle w:val="ListParagraph"/>
        <w:numPr>
          <w:ilvl w:val="0"/>
          <w:numId w:val="2"/>
        </w:numPr>
        <w:spacing w:after="80"/>
      </w:pPr>
      <w:r>
        <w:rPr>
          <w:color w:val="000000"/>
          <w:sz w:val="21"/>
          <w:szCs w:val="21"/>
        </w:rPr>
        <w:t xml:space="preserve">Signature électronique ou circuit de validation du contrat généré.</w:t>
      </w:r>
    </w:p>
    <w:p>
      <w:pPr>
        <w:pStyle w:val="ListParagraph"/>
        <w:numPr>
          <w:ilvl w:val="0"/>
          <w:numId w:val="2"/>
        </w:numPr>
        <w:spacing w:after="80"/>
      </w:pPr>
      <w:r>
        <w:rPr>
          <w:color w:val="000000"/>
          <w:sz w:val="21"/>
          <w:szCs w:val="21"/>
        </w:rPr>
        <w:t xml:space="preserve">Envoi automatique du contrat par e-mail.</w:t>
      </w:r>
    </w:p>
    <w:p>
      <w:pPr>
        <w:pStyle w:val="ListParagraph"/>
        <w:numPr>
          <w:ilvl w:val="0"/>
          <w:numId w:val="2"/>
        </w:numPr>
        <w:spacing w:after="80"/>
      </w:pPr>
      <w:r>
        <w:rPr>
          <w:color w:val="000000"/>
          <w:sz w:val="21"/>
          <w:szCs w:val="21"/>
        </w:rPr>
        <w:t xml:space="preserve">Génération de documents autres que Word (.docx) : formulaires PDF, exports PowerPoint, etc.</w:t>
      </w:r>
    </w:p>
    <w:p>
      <w:pPr>
        <w:pStyle w:val="ListParagraph"/>
        <w:numPr>
          <w:ilvl w:val="0"/>
          <w:numId w:val="2"/>
        </w:numPr>
        <w:spacing w:after="80"/>
      </w:pPr>
      <w:r>
        <w:rPr>
          <w:color w:val="000000"/>
          <w:sz w:val="21"/>
          <w:szCs w:val="21"/>
        </w:rPr>
        <w:t xml:space="preserve">Synchronisation ou fusion des données entre une instance exécutable et une instance SharePoint : ce sont deux jeux de données indépendants, sans passerelle automatique de l'un vers l'autre.</w:t>
      </w:r>
    </w:p>
    <w:p>
      <w:pPr>
        <w:pStyle w:val="ListParagraph"/>
        <w:numPr>
          <w:ilvl w:val="0"/>
          <w:numId w:val="2"/>
        </w:numPr>
        <w:spacing w:after="80"/>
      </w:pPr>
      <w:r>
        <w:rPr>
          <w:color w:val="000000"/>
          <w:sz w:val="21"/>
          <w:szCs w:val="21"/>
        </w:rPr>
        <w:t xml:space="preserve">Publication de l'application comme onglet Microsoft Teams : le web part est techniquement compatible (manifeste SPFx), mais ce circuit de déploiement (validation des applications tierces dans le centre d'administration Teams) n'a pas été mis en œuvre.</w:t>
      </w:r>
    </w:p>
    <w:p>
      <w:pPr>
        <w:pBdr>
          <w:left w:val="single" w:color="75787B" w:sz="12" w:space="8"/>
        </w:pBdr>
        <w:spacing w:after="200"/>
        <w:ind w:left="240"/>
      </w:pPr>
      <w:r>
        <w:rPr>
          <w:b/>
          <w:bCs/>
          <w:i/>
          <w:iCs/>
          <w:color w:val="75787B"/>
          <w:sz w:val="20"/>
          <w:szCs w:val="20"/>
        </w:rPr>
        <w:t xml:space="preserve">Note — </w:t>
      </w:r>
      <w:r>
        <w:rPr>
          <w:i/>
          <w:iCs/>
          <w:color w:val="000000"/>
          <w:sz w:val="20"/>
          <w:szCs w:val="20"/>
        </w:rPr>
        <w:t xml:space="preserve">Ce périmètre correspond à l'application telle que livrée, dans ses deux modes de déploiement. Toute évolution vers l'un des points ci-dessus constitue une nouvelle demande, à cadrer séparément (impact potentiel sur l'architecture — voir les spécifications techniques).</w:t>
      </w:r>
    </w:p>
    <w:p>
      <w:pPr>
        <w:pStyle w:val="Heading1"/>
        <w:pBdr>
          <w:bottom w:val="single" w:color="00874C" w:sz="8" w:space="4"/>
        </w:pBdr>
        <w:spacing w:after="240" w:before="480"/>
      </w:pPr>
      <w:r>
        <w:rPr>
          <w:b/>
          <w:bCs/>
          <w:color w:val="00874C"/>
          <w:sz w:val="32"/>
          <w:szCs w:val="32"/>
        </w:rPr>
        <w:t xml:space="preserve">3. Exigences fonctionnelles</w:t>
      </w:r>
    </w:p>
    <w:p>
      <w:pPr>
        <w:pStyle w:val="Heading2"/>
        <w:spacing w:after="160" w:before="360"/>
      </w:pPr>
      <w:r>
        <w:rPr>
          <w:b/>
          <w:bCs/>
          <w:color w:val="000000"/>
          <w:sz w:val="26"/>
          <w:szCs w:val="26"/>
        </w:rPr>
        <w:t xml:space="preserve">3.1. Conditions commerciales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1400"/>
        <w:gridCol w:w="8600"/>
      </w:tblGrid>
      <w:tr>
        <w:trPr>
          <w:tblHeader/>
        </w:trPr>
        <w:tc>
          <w:tcPr>
            <w:tcW w:type="dxa" w:w="1400"/>
            <w:shd w:fill="00874C" w:val="clear"/>
            <w:tcMar>
              <w:top w:type="dxa" w:w="80"/>
              <w:left w:type="dxa" w:w="100"/>
              <w:bottom w:type="dxa" w:w="80"/>
              <w:right w:type="dxa" w:w="100"/>
            </w:tcMar>
          </w:tcPr>
          <w:p>
            <w:pPr>
              <w:jc w:val="left"/>
            </w:pPr>
            <w:r>
              <w:rPr>
                <w:b/>
                <w:bCs/>
                <w:color w:val="FFFFFF"/>
                <w:sz w:val="20"/>
                <w:szCs w:val="20"/>
              </w:rPr>
              <w:t xml:space="preserve">Réf.</w:t>
            </w:r>
          </w:p>
        </w:tc>
        <w:tc>
          <w:tcPr>
            <w:tcW w:type="dxa" w:w="8600"/>
            <w:shd w:fill="00874C" w:val="clear"/>
            <w:tcMar>
              <w:top w:type="dxa" w:w="80"/>
              <w:left w:type="dxa" w:w="100"/>
              <w:bottom w:type="dxa" w:w="80"/>
              <w:right w:type="dxa" w:w="100"/>
            </w:tcMar>
          </w:tcPr>
          <w:p>
            <w:pPr>
              <w:jc w:val="left"/>
            </w:pPr>
            <w:r>
              <w:rPr>
                <w:b/>
                <w:bCs/>
                <w:color w:val="FFFFFF"/>
                <w:sz w:val="20"/>
                <w:szCs w:val="20"/>
              </w:rPr>
              <w:t xml:space="preserve">Exigence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EF-01</w:t>
            </w:r>
          </w:p>
        </w:tc>
        <w:tc>
          <w:tcPr>
            <w:tcW w:type="dxa" w:w="8600"/>
            <w:tcMar>
              <w:top w:type="dxa" w:w="80"/>
              <w:left w:type="dxa" w:w="100"/>
              <w:bottom w:type="dxa" w:w="80"/>
              <w:right w:type="dxa" w:w="100"/>
            </w:tcMar>
          </w:tcPr>
          <w:p>
            <w:pPr>
              <w:jc w:val="left"/>
            </w:pPr>
            <w:r>
              <w:rPr>
                <w:b w:val="false"/>
                <w:bCs w:val="false"/>
                <w:color w:val="000000"/>
                <w:sz w:val="20"/>
                <w:szCs w:val="20"/>
              </w:rPr>
              <w:t xml:space="preserve">Déposer un fichier Excel (.xlsx) de conditions commerciales ; chaque dépôt crée une nouvelle version, aucune n'est jamais écrasée.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EF-02</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Lire automatiquement les en-têtes de colonnes et le nombre de lignes de données ; signaler les lignes vides.</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EF-03</w:t>
            </w:r>
          </w:p>
        </w:tc>
        <w:tc>
          <w:tcPr>
            <w:tcW w:type="dxa" w:w="8600"/>
            <w:tcMar>
              <w:top w:type="dxa" w:w="80"/>
              <w:left w:type="dxa" w:w="100"/>
              <w:bottom w:type="dxa" w:w="80"/>
              <w:right w:type="dxa" w:w="100"/>
            </w:tcMar>
          </w:tcPr>
          <w:p>
            <w:pPr>
              <w:jc w:val="left"/>
            </w:pPr>
            <w:r>
              <w:rPr>
                <w:b w:val="false"/>
                <w:bCs w:val="false"/>
                <w:color w:val="000000"/>
                <w:sz w:val="20"/>
                <w:szCs w:val="20"/>
              </w:rPr>
              <w:t xml:space="preserve">Détecter automatiquement, ou permettre de désigner manuellement, la colonne servant de « code sous-segment ».</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EF-04</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Détecter les codes sous-segment dupliqués au sein d'un même fichier et en avertir l'utilisateur au dépôt.</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EF-05</w:t>
            </w:r>
          </w:p>
        </w:tc>
        <w:tc>
          <w:tcPr>
            <w:tcW w:type="dxa" w:w="8600"/>
            <w:tcMar>
              <w:top w:type="dxa" w:w="80"/>
              <w:left w:type="dxa" w:w="100"/>
              <w:bottom w:type="dxa" w:w="80"/>
              <w:right w:type="dxa" w:w="100"/>
            </w:tcMar>
          </w:tcPr>
          <w:p>
            <w:pPr>
              <w:jc w:val="left"/>
            </w:pPr>
            <w:r>
              <w:rPr>
                <w:b w:val="false"/>
                <w:bCs w:val="false"/>
                <w:color w:val="000000"/>
                <w:sz w:val="20"/>
                <w:szCs w:val="20"/>
              </w:rPr>
              <w:t xml:space="preserve">Désigner une unique version comme « active » (utilisée par défaut pour la génération), avec bascule explicite d'une version à l'autre.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EF-06</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Archiver une version (la masquer de la liste courante sans la supprimer) ; une version active ne peut être archivée directement.</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EF-07</w:t>
            </w:r>
          </w:p>
        </w:tc>
        <w:tc>
          <w:tcPr>
            <w:tcW w:type="dxa" w:w="8600"/>
            <w:tcMar>
              <w:top w:type="dxa" w:w="80"/>
              <w:left w:type="dxa" w:w="100"/>
              <w:bottom w:type="dxa" w:w="80"/>
              <w:right w:type="dxa" w:w="100"/>
            </w:tcMar>
          </w:tcPr>
          <w:p>
            <w:pPr>
              <w:jc w:val="left"/>
            </w:pPr>
            <w:r>
              <w:rPr>
                <w:b w:val="false"/>
                <w:bCs w:val="false"/>
                <w:color w:val="000000"/>
                <w:sz w:val="20"/>
                <w:szCs w:val="20"/>
              </w:rPr>
              <w:t xml:space="preserve">Permettre le téléchargement du fichier original de chaque version historisée.</w:t>
            </w:r>
          </w:p>
        </w:tc>
      </w:tr>
    </w:tbl>
    <w:p>
      <w:pPr>
        <w:pStyle w:val="Heading2"/>
        <w:spacing w:after="160" w:before="360"/>
      </w:pPr>
      <w:r>
        <w:rPr>
          <w:b/>
          <w:bCs/>
          <w:color w:val="000000"/>
          <w:sz w:val="26"/>
          <w:szCs w:val="26"/>
        </w:rPr>
        <w:t xml:space="preserve">3.2. Templates de contrats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1400"/>
        <w:gridCol w:w="8600"/>
      </w:tblGrid>
      <w:tr>
        <w:trPr>
          <w:tblHeader/>
        </w:trPr>
        <w:tc>
          <w:tcPr>
            <w:tcW w:type="dxa" w:w="1400"/>
            <w:shd w:fill="00874C" w:val="clear"/>
            <w:tcMar>
              <w:top w:type="dxa" w:w="80"/>
              <w:left w:type="dxa" w:w="100"/>
              <w:bottom w:type="dxa" w:w="80"/>
              <w:right w:type="dxa" w:w="100"/>
            </w:tcMar>
          </w:tcPr>
          <w:p>
            <w:pPr>
              <w:jc w:val="left"/>
            </w:pPr>
            <w:r>
              <w:rPr>
                <w:b/>
                <w:bCs/>
                <w:color w:val="FFFFFF"/>
                <w:sz w:val="20"/>
                <w:szCs w:val="20"/>
              </w:rPr>
              <w:t xml:space="preserve">Réf.</w:t>
            </w:r>
          </w:p>
        </w:tc>
        <w:tc>
          <w:tcPr>
            <w:tcW w:type="dxa" w:w="8600"/>
            <w:shd w:fill="00874C" w:val="clear"/>
            <w:tcMar>
              <w:top w:type="dxa" w:w="80"/>
              <w:left w:type="dxa" w:w="100"/>
              <w:bottom w:type="dxa" w:w="80"/>
              <w:right w:type="dxa" w:w="100"/>
            </w:tcMar>
          </w:tcPr>
          <w:p>
            <w:pPr>
              <w:jc w:val="left"/>
            </w:pPr>
            <w:r>
              <w:rPr>
                <w:b/>
                <w:bCs/>
                <w:color w:val="FFFFFF"/>
                <w:sz w:val="20"/>
                <w:szCs w:val="20"/>
              </w:rPr>
              <w:t xml:space="preserve">Exigence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EF-10</w:t>
            </w:r>
          </w:p>
        </w:tc>
        <w:tc>
          <w:tcPr>
            <w:tcW w:type="dxa" w:w="8600"/>
            <w:tcMar>
              <w:top w:type="dxa" w:w="80"/>
              <w:left w:type="dxa" w:w="100"/>
              <w:bottom w:type="dxa" w:w="80"/>
              <w:right w:type="dxa" w:w="100"/>
            </w:tcMar>
          </w:tcPr>
          <w:p>
            <w:pPr>
              <w:jc w:val="left"/>
            </w:pPr>
            <w:r>
              <w:rPr>
                <w:b w:val="false"/>
                <w:bCs w:val="false"/>
                <w:color w:val="000000"/>
                <w:sz w:val="20"/>
                <w:szCs w:val="20"/>
              </w:rPr>
              <w:t xml:space="preserve">Déposer un template Word (.docx) contenant des variables au format {{Nom de variable}} ; extraction automatique de la liste des variables.</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EF-11</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Verser un nouveau dépôt du même template comme une nouvelle version numérotée, en conservant l'historique des versions précédentes.</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EF-12</w:t>
            </w:r>
          </w:p>
        </w:tc>
        <w:tc>
          <w:tcPr>
            <w:tcW w:type="dxa" w:w="8600"/>
            <w:tcMar>
              <w:top w:type="dxa" w:w="80"/>
              <w:left w:type="dxa" w:w="100"/>
              <w:bottom w:type="dxa" w:w="80"/>
              <w:right w:type="dxa" w:w="100"/>
            </w:tcMar>
          </w:tcPr>
          <w:p>
            <w:pPr>
              <w:jc w:val="left"/>
            </w:pPr>
            <w:r>
              <w:rPr>
                <w:b w:val="false"/>
                <w:bCs w:val="false"/>
                <w:color w:val="000000"/>
                <w:sz w:val="20"/>
                <w:szCs w:val="20"/>
              </w:rPr>
              <w:t xml:space="preserve">Associer chaque variable du template à une colonne du fichier de conditions commerciales (mapping), ou la marquer explicitement comme « saisie libre ».</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EF-13</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Permettre de choisir, pour construire le mapping, un fichier de conditions de référence différent de la version active.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EF-14</w:t>
            </w:r>
          </w:p>
        </w:tc>
        <w:tc>
          <w:tcPr>
            <w:tcW w:type="dxa" w:w="8600"/>
            <w:tcMar>
              <w:top w:type="dxa" w:w="80"/>
              <w:left w:type="dxa" w:w="100"/>
              <w:bottom w:type="dxa" w:w="80"/>
              <w:right w:type="dxa" w:w="100"/>
            </w:tcMar>
          </w:tcPr>
          <w:p>
            <w:pPr>
              <w:jc w:val="left"/>
            </w:pPr>
            <w:r>
              <w:rPr>
                <w:b w:val="false"/>
                <w:bCs w:val="false"/>
                <w:color w:val="000000"/>
                <w:sz w:val="20"/>
                <w:szCs w:val="20"/>
              </w:rPr>
              <w:t xml:space="preserve">Exporter un fichier Excel de correspondance (vierge ou pré-rempli) facilitant la saisie du mapping en masse, avec liste de validation des colonnes disponibles.</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EF-15</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Importer ce fichier de correspondance rempli, avec détection et signalement des incohérences (variable inconnue, colonne inexistante, colonne utilisée plusieurs fois) avant toute application.</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EF-16</w:t>
            </w:r>
          </w:p>
        </w:tc>
        <w:tc>
          <w:tcPr>
            <w:tcW w:type="dxa" w:w="8600"/>
            <w:tcMar>
              <w:top w:type="dxa" w:w="80"/>
              <w:left w:type="dxa" w:w="100"/>
              <w:bottom w:type="dxa" w:w="80"/>
              <w:right w:type="dxa" w:w="100"/>
            </w:tcMar>
          </w:tcPr>
          <w:p>
            <w:pPr>
              <w:jc w:val="left"/>
            </w:pPr>
            <w:r>
              <w:rPr>
                <w:b w:val="false"/>
                <w:bCs w:val="false"/>
                <w:color w:val="000000"/>
                <w:sz w:val="20"/>
                <w:szCs w:val="20"/>
              </w:rPr>
              <w:t xml:space="preserve">Afficher un statut de synthèse du mapping (complet / incomplet / absent) pour chaque template.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EF-17</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Détecter qu'une variable mappée pointe vers une colonne qui n'existe plus dans le fichier de conditions actif, et le refléter dans le statut du mapping (ne pas rester faussement « complet »).</w:t>
            </w:r>
          </w:p>
        </w:tc>
      </w:tr>
    </w:tbl>
    <w:p>
      <w:pPr>
        <w:pStyle w:val="Heading2"/>
        <w:spacing w:after="160" w:before="360"/>
      </w:pPr>
      <w:r>
        <w:rPr>
          <w:b/>
          <w:bCs/>
          <w:color w:val="000000"/>
          <w:sz w:val="26"/>
          <w:szCs w:val="26"/>
        </w:rPr>
        <w:t xml:space="preserve">3.3. Génération de contrat</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1400"/>
        <w:gridCol w:w="8600"/>
      </w:tblGrid>
      <w:tr>
        <w:trPr>
          <w:tblHeader/>
        </w:trPr>
        <w:tc>
          <w:tcPr>
            <w:tcW w:type="dxa" w:w="1400"/>
            <w:shd w:fill="00874C" w:val="clear"/>
            <w:tcMar>
              <w:top w:type="dxa" w:w="80"/>
              <w:left w:type="dxa" w:w="100"/>
              <w:bottom w:type="dxa" w:w="80"/>
              <w:right w:type="dxa" w:w="100"/>
            </w:tcMar>
          </w:tcPr>
          <w:p>
            <w:pPr>
              <w:jc w:val="left"/>
            </w:pPr>
            <w:r>
              <w:rPr>
                <w:b/>
                <w:bCs/>
                <w:color w:val="FFFFFF"/>
                <w:sz w:val="20"/>
                <w:szCs w:val="20"/>
              </w:rPr>
              <w:t xml:space="preserve">Réf.</w:t>
            </w:r>
          </w:p>
        </w:tc>
        <w:tc>
          <w:tcPr>
            <w:tcW w:type="dxa" w:w="8600"/>
            <w:shd w:fill="00874C" w:val="clear"/>
            <w:tcMar>
              <w:top w:type="dxa" w:w="80"/>
              <w:left w:type="dxa" w:w="100"/>
              <w:bottom w:type="dxa" w:w="80"/>
              <w:right w:type="dxa" w:w="100"/>
            </w:tcMar>
          </w:tcPr>
          <w:p>
            <w:pPr>
              <w:jc w:val="left"/>
            </w:pPr>
            <w:r>
              <w:rPr>
                <w:b/>
                <w:bCs/>
                <w:color w:val="FFFFFF"/>
                <w:sz w:val="20"/>
                <w:szCs w:val="20"/>
              </w:rPr>
              <w:t xml:space="preserve">Exigence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EF-20</w:t>
            </w:r>
          </w:p>
        </w:tc>
        <w:tc>
          <w:tcPr>
            <w:tcW w:type="dxa" w:w="8600"/>
            <w:tcMar>
              <w:top w:type="dxa" w:w="80"/>
              <w:left w:type="dxa" w:w="100"/>
              <w:bottom w:type="dxa" w:w="80"/>
              <w:right w:type="dxa" w:w="100"/>
            </w:tcMar>
          </w:tcPr>
          <w:p>
            <w:pPr>
              <w:jc w:val="left"/>
            </w:pPr>
            <w:r>
              <w:rPr>
                <w:b w:val="false"/>
                <w:bCs w:val="false"/>
                <w:color w:val="000000"/>
                <w:sz w:val="20"/>
                <w:szCs w:val="20"/>
              </w:rPr>
              <w:t xml:space="preserve">Ne proposer pour la génération que les templates dont le mapping est complet ; afficher néanmoins les templates au mapping incomplet, avec la raison, plutôt que de les rendre invisibles.</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EF-21</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Rechercher les lignes du fichier de conditions correspondant à un code sous-segment donné ; permettre de choisir la ligne si plusieurs correspondent.</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EF-22</w:t>
            </w:r>
          </w:p>
        </w:tc>
        <w:tc>
          <w:tcPr>
            <w:tcW w:type="dxa" w:w="8600"/>
            <w:tcMar>
              <w:top w:type="dxa" w:w="80"/>
              <w:left w:type="dxa" w:w="100"/>
              <w:bottom w:type="dxa" w:w="80"/>
              <w:right w:type="dxa" w:w="100"/>
            </w:tcMar>
          </w:tcPr>
          <w:p>
            <w:pPr>
              <w:jc w:val="left"/>
            </w:pPr>
            <w:r>
              <w:rPr>
                <w:b w:val="false"/>
                <w:bCs w:val="false"/>
                <w:color w:val="000000"/>
                <w:sz w:val="20"/>
                <w:szCs w:val="20"/>
              </w:rPr>
              <w:t xml:space="preserve">Pré-remplir un formulaire à partir de la ligne choisie et du mapping du template, chaque champ restant modifiable avant génération.</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EF-23</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Avertir explicitement lorsqu'une variable mappée ne trouve pas sa colonne dans le fichier de conditions choisi pour cette génération précise, plutôt que de laisser un champ vide sans explication.</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EF-24</w:t>
            </w:r>
          </w:p>
        </w:tc>
        <w:tc>
          <w:tcPr>
            <w:tcW w:type="dxa" w:w="8600"/>
            <w:tcMar>
              <w:top w:type="dxa" w:w="80"/>
              <w:left w:type="dxa" w:w="100"/>
              <w:bottom w:type="dxa" w:w="80"/>
              <w:right w:type="dxa" w:w="100"/>
            </w:tcMar>
          </w:tcPr>
          <w:p>
            <w:pPr>
              <w:jc w:val="left"/>
            </w:pPr>
            <w:r>
              <w:rPr>
                <w:b w:val="false"/>
                <w:bCs w:val="false"/>
                <w:color w:val="000000"/>
                <w:sz w:val="20"/>
                <w:szCs w:val="20"/>
              </w:rPr>
              <w:t xml:space="preserve">Produire le document Word final avec la mise en forme du template intégralement préservée.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EF-25</w:t>
            </w:r>
          </w:p>
        </w:tc>
        <w:tc>
          <w:tcPr>
            <w:tcW w:type="dxa" w:w="8600"/>
            <w:shd w:fill="F5F6F8" w:val="clear"/>
            <w:tcMar>
              <w:top w:type="dxa" w:w="80"/>
              <w:left w:type="dxa" w:w="100"/>
              <w:bottom w:type="dxa" w:w="80"/>
              <w:right w:type="dxa" w:w="100"/>
            </w:tcMar>
          </w:tcPr>
          <w:p>
            <w:pPr>
              <w:jc w:val="left"/>
            </w:pPr>
            <w:r>
              <w:rPr>
                <w:b w:val="false"/>
                <w:bCs w:val="false"/>
                <w:color w:val="000000"/>
                <w:sz w:val="20"/>
                <w:szCs w:val="20"/>
              </w:rPr>
              <w:t xml:space="preserve">Enregistrer chaque génération dans un journal (template, fichier de conditions, code recherché, date, auteur) consultable dans l'application.</w:t>
            </w:r>
          </w:p>
        </w:tc>
      </w:tr>
    </w:tbl>
    <w:p>
      <w:pPr>
        <w:pStyle w:val="Heading1"/>
        <w:pBdr>
          <w:bottom w:val="single" w:color="00874C" w:sz="8" w:space="4"/>
        </w:pBdr>
        <w:spacing w:after="240" w:before="480"/>
      </w:pPr>
      <w:r>
        <w:rPr>
          <w:b/>
          <w:bCs/>
          <w:color w:val="00874C"/>
          <w:sz w:val="32"/>
          <w:szCs w:val="32"/>
        </w:rPr>
        <w:t xml:space="preserve">4. Exigences non fonctionnelles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1400"/>
        <w:gridCol w:w="2400"/>
        <w:gridCol w:w="6200"/>
      </w:tblGrid>
      <w:tr>
        <w:trPr>
          <w:tblHeader/>
        </w:trPr>
        <w:tc>
          <w:tcPr>
            <w:tcW w:type="dxa" w:w="1400"/>
            <w:shd w:fill="00874C" w:val="clear"/>
            <w:tcMar>
              <w:top w:type="dxa" w:w="80"/>
              <w:left w:type="dxa" w:w="100"/>
              <w:bottom w:type="dxa" w:w="80"/>
              <w:right w:type="dxa" w:w="100"/>
            </w:tcMar>
          </w:tcPr>
          <w:p>
            <w:pPr>
              <w:jc w:val="left"/>
            </w:pPr>
            <w:r>
              <w:rPr>
                <w:b/>
                <w:bCs/>
                <w:color w:val="FFFFFF"/>
                <w:sz w:val="20"/>
                <w:szCs w:val="20"/>
              </w:rPr>
              <w:t xml:space="preserve">Réf.</w:t>
            </w:r>
          </w:p>
        </w:tc>
        <w:tc>
          <w:tcPr>
            <w:tcW w:type="dxa" w:w="2400"/>
            <w:shd w:fill="00874C" w:val="clear"/>
            <w:tcMar>
              <w:top w:type="dxa" w:w="80"/>
              <w:left w:type="dxa" w:w="100"/>
              <w:bottom w:type="dxa" w:w="80"/>
              <w:right w:type="dxa" w:w="100"/>
            </w:tcMar>
          </w:tcPr>
          <w:p>
            <w:pPr>
              <w:jc w:val="left"/>
            </w:pPr>
            <w:r>
              <w:rPr>
                <w:b/>
                <w:bCs/>
                <w:color w:val="FFFFFF"/>
                <w:sz w:val="20"/>
                <w:szCs w:val="20"/>
              </w:rPr>
              <w:t xml:space="preserve">Catégorie</w:t>
            </w:r>
          </w:p>
        </w:tc>
        <w:tc>
          <w:tcPr>
            <w:tcW w:type="dxa" w:w="6200"/>
            <w:shd w:fill="00874C" w:val="clear"/>
            <w:tcMar>
              <w:top w:type="dxa" w:w="80"/>
              <w:left w:type="dxa" w:w="100"/>
              <w:bottom w:type="dxa" w:w="80"/>
              <w:right w:type="dxa" w:w="100"/>
            </w:tcMar>
          </w:tcPr>
          <w:p>
            <w:pPr>
              <w:jc w:val="left"/>
            </w:pPr>
            <w:r>
              <w:rPr>
                <w:b/>
                <w:bCs/>
                <w:color w:val="FFFFFF"/>
                <w:sz w:val="20"/>
                <w:szCs w:val="20"/>
              </w:rPr>
              <w:t xml:space="preserve">Exigence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ENF-01</w:t>
            </w:r>
          </w:p>
        </w:tc>
        <w:tc>
          <w:tcPr>
            <w:tcW w:type="dxa" w:w="2400"/>
            <w:tcMar>
              <w:top w:type="dxa" w:w="80"/>
              <w:left w:type="dxa" w:w="100"/>
              <w:bottom w:type="dxa" w:w="80"/>
              <w:right w:type="dxa" w:w="100"/>
            </w:tcMar>
          </w:tcPr>
          <w:p>
            <w:pPr>
              <w:jc w:val="left"/>
            </w:pPr>
            <w:r>
              <w:rPr>
                <w:b w:val="false"/>
                <w:bCs w:val="false"/>
                <w:color w:val="000000"/>
                <w:sz w:val="20"/>
                <w:szCs w:val="20"/>
              </w:rPr>
              <w:t xml:space="preserve">Déploiement</w:t>
            </w:r>
          </w:p>
        </w:tc>
        <w:tc>
          <w:tcPr>
            <w:tcW w:type="dxa" w:w="6200"/>
            <w:tcMar>
              <w:top w:type="dxa" w:w="80"/>
              <w:left w:type="dxa" w:w="100"/>
              <w:bottom w:type="dxa" w:w="80"/>
              <w:right w:type="dxa" w:w="100"/>
            </w:tcMar>
          </w:tcPr>
          <w:p>
            <w:pPr>
              <w:jc w:val="left"/>
            </w:pPr>
            <w:r>
              <w:rPr>
                <w:b w:val="false"/>
                <w:bCs w:val="false"/>
                <w:color w:val="000000"/>
                <w:sz w:val="20"/>
                <w:szCs w:val="20"/>
              </w:rPr>
              <w:t xml:space="preserve">Fonctionner comme exécutable Windows autonome, sans installation de Node.js ni d'aucun autre outil sur le poste cible.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ENF-02</w:t>
            </w:r>
          </w:p>
        </w:tc>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Portabilité</w:t>
            </w:r>
          </w:p>
        </w:tc>
        <w:tc>
          <w:tcPr>
            <w:tcW w:type="dxa" w:w="6200"/>
            <w:shd w:fill="F5F6F8" w:val="clear"/>
            <w:tcMar>
              <w:top w:type="dxa" w:w="80"/>
              <w:left w:type="dxa" w:w="100"/>
              <w:bottom w:type="dxa" w:w="80"/>
              <w:right w:type="dxa" w:w="100"/>
            </w:tcMar>
          </w:tcPr>
          <w:p>
            <w:pPr>
              <w:jc w:val="left"/>
            </w:pPr>
            <w:r>
              <w:rPr>
                <w:b w:val="false"/>
                <w:bCs w:val="false"/>
                <w:color w:val="000000"/>
                <w:sz w:val="20"/>
                <w:szCs w:val="20"/>
              </w:rPr>
              <w:t xml:space="preserve">Aucune dépendance native (base de données, module compilé) qui empêcherait l'empaquetage en exécutable autonome.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ENF-03</w:t>
            </w:r>
          </w:p>
        </w:tc>
        <w:tc>
          <w:tcPr>
            <w:tcW w:type="dxa" w:w="2400"/>
            <w:tcMar>
              <w:top w:type="dxa" w:w="80"/>
              <w:left w:type="dxa" w:w="100"/>
              <w:bottom w:type="dxa" w:w="80"/>
              <w:right w:type="dxa" w:w="100"/>
            </w:tcMar>
          </w:tcPr>
          <w:p>
            <w:pPr>
              <w:jc w:val="left"/>
            </w:pPr>
            <w:r>
              <w:rPr>
                <w:b w:val="false"/>
                <w:bCs w:val="false"/>
                <w:color w:val="000000"/>
                <w:sz w:val="20"/>
                <w:szCs w:val="20"/>
              </w:rPr>
              <w:t xml:space="preserve">Intégrité des données</w:t>
            </w:r>
          </w:p>
        </w:tc>
        <w:tc>
          <w:tcPr>
            <w:tcW w:type="dxa" w:w="6200"/>
            <w:tcMar>
              <w:top w:type="dxa" w:w="80"/>
              <w:left w:type="dxa" w:w="100"/>
              <w:bottom w:type="dxa" w:w="80"/>
              <w:right w:type="dxa" w:w="100"/>
            </w:tcMar>
          </w:tcPr>
          <w:p>
            <w:pPr>
              <w:jc w:val="left"/>
            </w:pPr>
            <w:r>
              <w:rPr>
                <w:b w:val="false"/>
                <w:bCs w:val="false"/>
                <w:color w:val="000000"/>
                <w:sz w:val="20"/>
                <w:szCs w:val="20"/>
              </w:rPr>
              <w:t xml:space="preserve">Aucun dépôt (fichier de conditions ou template) n'écrase un dépôt antérieur : l'historique complet reste consultable.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ENF-04</w:t>
            </w:r>
          </w:p>
        </w:tc>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Fiabilité de la génération</w:t>
            </w:r>
          </w:p>
        </w:tc>
        <w:tc>
          <w:tcPr>
            <w:tcW w:type="dxa" w:w="6200"/>
            <w:shd w:fill="F5F6F8" w:val="clear"/>
            <w:tcMar>
              <w:top w:type="dxa" w:w="80"/>
              <w:left w:type="dxa" w:w="100"/>
              <w:bottom w:type="dxa" w:w="80"/>
              <w:right w:type="dxa" w:w="100"/>
            </w:tcMar>
          </w:tcPr>
          <w:p>
            <w:pPr>
              <w:jc w:val="left"/>
            </w:pPr>
            <w:r>
              <w:rPr>
                <w:b w:val="false"/>
                <w:bCs w:val="false"/>
                <w:color w:val="000000"/>
                <w:sz w:val="20"/>
                <w:szCs w:val="20"/>
              </w:rPr>
              <w:t xml:space="preserve">Ne jamais produire silencieusement un contrat avec une valeur manquante sans avertissement visible à l'écran.</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ENF-05</w:t>
            </w:r>
          </w:p>
        </w:tc>
        <w:tc>
          <w:tcPr>
            <w:tcW w:type="dxa" w:w="2400"/>
            <w:tcMar>
              <w:top w:type="dxa" w:w="80"/>
              <w:left w:type="dxa" w:w="100"/>
              <w:bottom w:type="dxa" w:w="80"/>
              <w:right w:type="dxa" w:w="100"/>
            </w:tcMar>
          </w:tcPr>
          <w:p>
            <w:pPr>
              <w:jc w:val="left"/>
            </w:pPr>
            <w:r>
              <w:rPr>
                <w:b w:val="false"/>
                <w:bCs w:val="false"/>
                <w:color w:val="000000"/>
                <w:sz w:val="20"/>
                <w:szCs w:val="20"/>
              </w:rPr>
              <w:t xml:space="preserve">Ergonomie</w:t>
            </w:r>
          </w:p>
        </w:tc>
        <w:tc>
          <w:tcPr>
            <w:tcW w:type="dxa" w:w="6200"/>
            <w:tcMar>
              <w:top w:type="dxa" w:w="80"/>
              <w:left w:type="dxa" w:w="100"/>
              <w:bottom w:type="dxa" w:w="80"/>
              <w:right w:type="dxa" w:w="100"/>
            </w:tcMar>
          </w:tcPr>
          <w:p>
            <w:pPr>
              <w:jc w:val="left"/>
            </w:pPr>
            <w:r>
              <w:rPr>
                <w:b w:val="false"/>
                <w:bCs w:val="false"/>
                <w:color w:val="000000"/>
                <w:sz w:val="20"/>
                <w:szCs w:val="20"/>
              </w:rPr>
              <w:t xml:space="preserve">Parcours en trois étapes numérotées et explicites (conditions → templates → génération), navigation latérale permanente.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ENF-06</w:t>
            </w:r>
          </w:p>
        </w:tc>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Identité visuelle</w:t>
            </w:r>
          </w:p>
        </w:tc>
        <w:tc>
          <w:tcPr>
            <w:tcW w:type="dxa" w:w="6200"/>
            <w:shd w:fill="F5F6F8" w:val="clear"/>
            <w:tcMar>
              <w:top w:type="dxa" w:w="80"/>
              <w:left w:type="dxa" w:w="100"/>
              <w:bottom w:type="dxa" w:w="80"/>
              <w:right w:type="dxa" w:w="100"/>
            </w:tcMar>
          </w:tcPr>
          <w:p>
            <w:pPr>
              <w:jc w:val="left"/>
            </w:pPr>
            <w:r>
              <w:rPr>
                <w:b w:val="false"/>
                <w:bCs w:val="false"/>
                <w:color w:val="000000"/>
                <w:sz w:val="20"/>
                <w:szCs w:val="20"/>
              </w:rPr>
              <w:t xml:space="preserve">Interface conforme à la charte graphique Printemps (couleurs, à l'exclusion des exigences d'accessibilité de contraste texte/fond, qui prévalent lorsque la charte brute y ferait obstacle).</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ENF-07</w:t>
            </w:r>
          </w:p>
        </w:tc>
        <w:tc>
          <w:tcPr>
            <w:tcW w:type="dxa" w:w="2400"/>
            <w:tcMar>
              <w:top w:type="dxa" w:w="80"/>
              <w:left w:type="dxa" w:w="100"/>
              <w:bottom w:type="dxa" w:w="80"/>
              <w:right w:type="dxa" w:w="100"/>
            </w:tcMar>
          </w:tcPr>
          <w:p>
            <w:pPr>
              <w:jc w:val="left"/>
            </w:pPr>
            <w:r>
              <w:rPr>
                <w:b w:val="false"/>
                <w:bCs w:val="false"/>
                <w:color w:val="000000"/>
                <w:sz w:val="20"/>
                <w:szCs w:val="20"/>
              </w:rPr>
              <w:t xml:space="preserve">Prise en main</w:t>
            </w:r>
          </w:p>
        </w:tc>
        <w:tc>
          <w:tcPr>
            <w:tcW w:type="dxa" w:w="6200"/>
            <w:tcMar>
              <w:top w:type="dxa" w:w="80"/>
              <w:left w:type="dxa" w:w="100"/>
              <w:bottom w:type="dxa" w:w="80"/>
              <w:right w:type="dxa" w:w="100"/>
            </w:tcMar>
          </w:tcPr>
          <w:p>
            <w:pPr>
              <w:jc w:val="left"/>
            </w:pPr>
            <w:r>
              <w:rPr>
                <w:b w:val="false"/>
                <w:bCs w:val="false"/>
                <w:color w:val="000000"/>
                <w:sz w:val="20"/>
                <w:szCs w:val="20"/>
              </w:rPr>
              <w:t xml:space="preserve">Démarrage en un double-clic (exécutable), sans commande à taper ; ouverture automatique du navigateur. Sur SharePoint, ajout du composant sur une page comme n'importe quel autre web part.</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ENF-08</w:t>
            </w:r>
          </w:p>
        </w:tc>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Localisation</w:t>
            </w:r>
          </w:p>
        </w:tc>
        <w:tc>
          <w:tcPr>
            <w:tcW w:type="dxa" w:w="6200"/>
            <w:shd w:fill="F5F6F8" w:val="clear"/>
            <w:tcMar>
              <w:top w:type="dxa" w:w="80"/>
              <w:left w:type="dxa" w:w="100"/>
              <w:bottom w:type="dxa" w:w="80"/>
              <w:right w:type="dxa" w:w="100"/>
            </w:tcMar>
          </w:tcPr>
          <w:p>
            <w:pPr>
              <w:jc w:val="left"/>
            </w:pPr>
            <w:r>
              <w:rPr>
                <w:b w:val="false"/>
                <w:bCs w:val="false"/>
                <w:color w:val="000000"/>
                <w:sz w:val="20"/>
                <w:szCs w:val="20"/>
              </w:rPr>
              <w:t xml:space="preserve">Interface et messages entièrement en français.</w:t>
            </w:r>
          </w:p>
        </w:tc>
      </w:tr>
      <w:tr>
        <w:tc>
          <w:tcPr>
            <w:tcW w:type="dxa" w:w="1400"/>
            <w:tcMar>
              <w:top w:type="dxa" w:w="80"/>
              <w:left w:type="dxa" w:w="100"/>
              <w:bottom w:type="dxa" w:w="80"/>
              <w:right w:type="dxa" w:w="100"/>
            </w:tcMar>
          </w:tcPr>
          <w:p>
            <w:pPr>
              <w:jc w:val="left"/>
            </w:pPr>
            <w:r>
              <w:rPr>
                <w:b w:val="false"/>
                <w:bCs w:val="false"/>
                <w:color w:val="000000"/>
                <w:sz w:val="20"/>
                <w:szCs w:val="20"/>
              </w:rPr>
              <w:t xml:space="preserve">ENF-09</w:t>
            </w:r>
          </w:p>
        </w:tc>
        <w:tc>
          <w:tcPr>
            <w:tcW w:type="dxa" w:w="2400"/>
            <w:tcMar>
              <w:top w:type="dxa" w:w="80"/>
              <w:left w:type="dxa" w:w="100"/>
              <w:bottom w:type="dxa" w:w="80"/>
              <w:right w:type="dxa" w:w="100"/>
            </w:tcMar>
          </w:tcPr>
          <w:p>
            <w:pPr>
              <w:jc w:val="left"/>
            </w:pPr>
            <w:r>
              <w:rPr>
                <w:b w:val="false"/>
                <w:bCs w:val="false"/>
                <w:color w:val="000000"/>
                <w:sz w:val="20"/>
                <w:szCs w:val="20"/>
              </w:rPr>
              <w:t xml:space="preserve">Sécurité réseau (exécutable)</w:t>
            </w:r>
          </w:p>
        </w:tc>
        <w:tc>
          <w:tcPr>
            <w:tcW w:type="dxa" w:w="6200"/>
            <w:tcMar>
              <w:top w:type="dxa" w:w="80"/>
              <w:left w:type="dxa" w:w="100"/>
              <w:bottom w:type="dxa" w:w="80"/>
              <w:right w:type="dxa" w:w="100"/>
            </w:tcMar>
          </w:tcPr>
          <w:p>
            <w:pPr>
              <w:jc w:val="left"/>
            </w:pPr>
            <w:r>
              <w:rPr>
                <w:b w:val="false"/>
                <w:bCs w:val="false"/>
                <w:color w:val="000000"/>
                <w:sz w:val="20"/>
                <w:szCs w:val="20"/>
              </w:rPr>
              <w:t xml:space="preserve">Le serveur local n'écoute que sur l'interface locale de la machine (127.0.0.1) par défaut ; aucune autre machine du réseau ne peut y accéder sans configuration explicite.</w:t>
            </w:r>
          </w:p>
        </w:tc>
      </w:tr>
      <w:tr>
        <w:tc>
          <w:tcPr>
            <w:tcW w:type="dxa" w:w="1400"/>
            <w:shd w:fill="F5F6F8" w:val="clear"/>
            <w:tcMar>
              <w:top w:type="dxa" w:w="80"/>
              <w:left w:type="dxa" w:w="100"/>
              <w:bottom w:type="dxa" w:w="80"/>
              <w:right w:type="dxa" w:w="100"/>
            </w:tcMar>
          </w:tcPr>
          <w:p>
            <w:pPr>
              <w:jc w:val="left"/>
            </w:pPr>
            <w:r>
              <w:rPr>
                <w:b w:val="false"/>
                <w:bCs w:val="false"/>
                <w:color w:val="000000"/>
                <w:sz w:val="20"/>
                <w:szCs w:val="20"/>
              </w:rPr>
              <w:t xml:space="preserve">ENF-10</w:t>
            </w:r>
          </w:p>
        </w:tc>
        <w:tc>
          <w:tcPr>
            <w:tcW w:type="dxa" w:w="2400"/>
            <w:shd w:fill="F5F6F8" w:val="clear"/>
            <w:tcMar>
              <w:top w:type="dxa" w:w="80"/>
              <w:left w:type="dxa" w:w="100"/>
              <w:bottom w:type="dxa" w:w="80"/>
              <w:right w:type="dxa" w:w="100"/>
            </w:tcMar>
          </w:tcPr>
          <w:p>
            <w:pPr>
              <w:jc w:val="left"/>
            </w:pPr>
            <w:r>
              <w:rPr>
                <w:b w:val="false"/>
                <w:bCs w:val="false"/>
                <w:color w:val="000000"/>
                <w:sz w:val="20"/>
                <w:szCs w:val="20"/>
              </w:rPr>
              <w:t xml:space="preserve">Auto-provisionnement (SharePoint)</w:t>
            </w:r>
          </w:p>
        </w:tc>
        <w:tc>
          <w:tcPr>
            <w:tcW w:type="dxa" w:w="6200"/>
            <w:shd w:fill="F5F6F8" w:val="clear"/>
            <w:tcMar>
              <w:top w:type="dxa" w:w="80"/>
              <w:left w:type="dxa" w:w="100"/>
              <w:bottom w:type="dxa" w:w="80"/>
              <w:right w:type="dxa" w:w="100"/>
            </w:tcMar>
          </w:tcPr>
          <w:p>
            <w:pPr>
              <w:jc w:val="left"/>
            </w:pPr>
            <w:r>
              <w:rPr>
                <w:b w:val="false"/>
                <w:bCs w:val="false"/>
                <w:color w:val="000000"/>
                <w:sz w:val="20"/>
                <w:szCs w:val="20"/>
              </w:rPr>
              <w:t xml:space="preserve">La version SharePoint crée elle-même les listes et bibliothèques dont elle a besoin au premier chargement, sans étape d'installation manuelle par un administrateur du site.</w:t>
            </w:r>
          </w:p>
        </w:tc>
      </w:tr>
    </w:tbl>
    <w:p>
      <w:pPr>
        <w:pStyle w:val="Heading1"/>
        <w:pBdr>
          <w:bottom w:val="single" w:color="00874C" w:sz="8" w:space="4"/>
        </w:pBdr>
        <w:spacing w:after="240" w:before="480"/>
      </w:pPr>
      <w:r>
        <w:rPr>
          <w:b/>
          <w:bCs/>
          <w:color w:val="00874C"/>
          <w:sz w:val="32"/>
          <w:szCs w:val="32"/>
        </w:rPr>
        <w:t xml:space="preserve">5. Contraintes</w:t>
      </w:r>
    </w:p>
    <w:p>
      <w:pPr>
        <w:pStyle w:val="Heading2"/>
        <w:spacing w:after="160" w:before="360"/>
      </w:pPr>
      <w:r>
        <w:rPr>
          <w:b/>
          <w:bCs/>
          <w:color w:val="000000"/>
          <w:sz w:val="26"/>
          <w:szCs w:val="26"/>
        </w:rPr>
        <w:t xml:space="preserve">5.1. Exécutable Windows</w:t>
      </w:r>
    </w:p>
    <w:p>
      <w:pPr>
        <w:pStyle w:val="ListParagraph"/>
        <w:numPr>
          <w:ilvl w:val="0"/>
          <w:numId w:val="2"/>
        </w:numPr>
        <w:spacing w:after="80"/>
      </w:pPr>
      <w:r>
        <w:rPr>
          <w:color w:val="000000"/>
          <w:sz w:val="21"/>
          <w:szCs w:val="21"/>
        </w:rPr>
        <w:t xml:space="preserve">Poste cible : Windows, sans droits d'installation présumés disponibles (exécutable portable, pas de setup.exe).</w:t>
      </w:r>
    </w:p>
    <w:p>
      <w:pPr>
        <w:pStyle w:val="ListParagraph"/>
        <w:numPr>
          <w:ilvl w:val="0"/>
          <w:numId w:val="2"/>
        </w:numPr>
        <w:spacing w:after="80"/>
      </w:pPr>
      <w:r>
        <w:rPr>
          <w:color w:val="000000"/>
          <w:sz w:val="21"/>
          <w:szCs w:val="21"/>
        </w:rPr>
        <w:t xml:space="preserve">Aucun compte ni mot de passe à gérer : l'application est destinée à un usage interne de confiance, sur un poste maîtrisé.</w:t>
      </w:r>
    </w:p>
    <w:p>
      <w:pPr>
        <w:pStyle w:val="ListParagraph"/>
        <w:numPr>
          <w:ilvl w:val="0"/>
          <w:numId w:val="2"/>
        </w:numPr>
        <w:spacing w:after="80"/>
      </w:pPr>
      <w:r>
        <w:rPr>
          <w:color w:val="000000"/>
          <w:sz w:val="21"/>
          <w:szCs w:val="21"/>
        </w:rPr>
        <w:t xml:space="preserve">Aucune connexion réseau externe requise pour fonctionner (usage entièrement local).</w:t>
      </w:r>
    </w:p>
    <w:p>
      <w:pPr>
        <w:pStyle w:val="Heading2"/>
        <w:spacing w:after="160" w:before="360"/>
      </w:pPr>
      <w:r>
        <w:rPr>
          <w:b/>
          <w:bCs/>
          <w:color w:val="000000"/>
          <w:sz w:val="26"/>
          <w:szCs w:val="26"/>
        </w:rPr>
        <w:t xml:space="preserve">5.2. Web part SharePoint</w:t>
      </w:r>
    </w:p>
    <w:p>
      <w:pPr>
        <w:pStyle w:val="ListParagraph"/>
        <w:numPr>
          <w:ilvl w:val="0"/>
          <w:numId w:val="2"/>
        </w:numPr>
        <w:spacing w:after="80"/>
      </w:pPr>
      <w:r>
        <w:rPr>
          <w:color w:val="000000"/>
          <w:sz w:val="21"/>
          <w:szCs w:val="21"/>
        </w:rPr>
        <w:t xml:space="preserve">Site cible : SharePoint Online, avec le paquet applicatif (.sppkg) déposé dans le catalogue d'applications du tenant.</w:t>
      </w:r>
    </w:p>
    <w:p>
      <w:pPr>
        <w:pStyle w:val="ListParagraph"/>
        <w:numPr>
          <w:ilvl w:val="0"/>
          <w:numId w:val="2"/>
        </w:numPr>
        <w:spacing w:after="80"/>
      </w:pPr>
      <w:r>
        <w:rPr>
          <w:color w:val="000000"/>
          <w:sz w:val="21"/>
          <w:szCs w:val="21"/>
        </w:rPr>
        <w:t xml:space="preserve">La première personne qui ouvre le web part sur un site donné doit disposer des droits de gestion de listes sur ce site (Propriétaire ou Membre avec droits de conception) : c'est elle qui déclenche la création automatique des listes.</w:t>
      </w:r>
    </w:p>
    <w:p>
      <w:pPr>
        <w:pStyle w:val="ListParagraph"/>
        <w:numPr>
          <w:ilvl w:val="0"/>
          <w:numId w:val="2"/>
        </w:numPr>
        <w:spacing w:after="80"/>
      </w:pPr>
      <w:r>
        <w:rPr>
          <w:color w:val="000000"/>
          <w:sz w:val="21"/>
          <w:szCs w:val="21"/>
        </w:rPr>
        <w:t xml:space="preserve">Fonctionne dans le navigateur, sans aucune installation sur le poste de l'utilisateur.</w:t>
      </w:r>
    </w:p>
    <w:p>
      <w:pPr>
        <w:pStyle w:val="Heading2"/>
        <w:spacing w:after="160" w:before="360"/>
      </w:pPr>
      <w:r>
        <w:rPr>
          <w:b/>
          <w:bCs/>
          <w:color w:val="000000"/>
          <w:sz w:val="26"/>
          <w:szCs w:val="26"/>
        </w:rPr>
        <w:t xml:space="preserve">5.3. Commune aux deux modes</w:t>
      </w:r>
    </w:p>
    <w:p>
      <w:pPr>
        <w:pStyle w:val="ListParagraph"/>
        <w:numPr>
          <w:ilvl w:val="0"/>
          <w:numId w:val="2"/>
        </w:numPr>
        <w:spacing w:after="80"/>
      </w:pPr>
      <w:r>
        <w:rPr>
          <w:color w:val="000000"/>
          <w:sz w:val="21"/>
          <w:szCs w:val="21"/>
        </w:rPr>
        <w:t xml:space="preserve">Les fichiers de conditions commerciales doivent être au format .xlsx ; la reconnaissance des en-têtes tolère plusieurs onglets annexes et des en-têtes de colonnes étalés sur plusieurs lignes (voir spécifications techniques).</w:t>
      </w:r>
    </w:p>
    <w:p>
      <w:pPr>
        <w:pStyle w:val="ListParagraph"/>
        <w:numPr>
          <w:ilvl w:val="0"/>
          <w:numId w:val="2"/>
        </w:numPr>
        <w:spacing w:after="80"/>
      </w:pPr>
      <w:r>
        <w:rPr>
          <w:color w:val="000000"/>
          <w:sz w:val="21"/>
          <w:szCs w:val="21"/>
        </w:rPr>
        <w:t xml:space="preserve">Les templates de contrat doivent être au format .docx, avec les emplacements à remplir balisés {{Nom de variable}}.</w:t>
      </w:r>
    </w:p>
    <w:p>
      <w:pPr>
        <w:pStyle w:val="Heading1"/>
        <w:pBdr>
          <w:bottom w:val="single" w:color="00874C" w:sz="8" w:space="4"/>
        </w:pBdr>
        <w:spacing w:after="240" w:before="480"/>
      </w:pPr>
      <w:r>
        <w:rPr>
          <w:b/>
          <w:bCs/>
          <w:color w:val="00874C"/>
          <w:sz w:val="32"/>
          <w:szCs w:val="32"/>
        </w:rPr>
        <w:t xml:space="preserve">6. Livrables</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7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Livrable</w:t>
            </w:r>
          </w:p>
        </w:tc>
        <w:tc>
          <w:tcPr>
            <w:tcW w:type="dxa" w:w="7400"/>
            <w:shd w:fill="00874C" w:val="clear"/>
            <w:tcMar>
              <w:top w:type="dxa" w:w="80"/>
              <w:left w:type="dxa" w:w="100"/>
              <w:bottom w:type="dxa" w:w="80"/>
              <w:right w:type="dxa" w:w="100"/>
            </w:tcMar>
          </w:tcPr>
          <w:p>
            <w:pPr>
              <w:jc w:val="left"/>
            </w:pPr>
            <w:r>
              <w:rPr>
                <w:b/>
                <w:bCs/>
                <w:color w:val="FFFFFF"/>
                <w:sz w:val="20"/>
                <w:szCs w:val="20"/>
              </w:rPr>
              <w:t xml:space="preserve">Description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Code source</w:t>
            </w:r>
          </w:p>
        </w:tc>
        <w:tc>
          <w:tcPr>
            <w:tcW w:type="dxa" w:w="7400"/>
            <w:tcMar>
              <w:top w:type="dxa" w:w="80"/>
              <w:left w:type="dxa" w:w="100"/>
              <w:bottom w:type="dxa" w:w="80"/>
              <w:right w:type="dxa" w:w="100"/>
            </w:tcMar>
          </w:tcPr>
          <w:p>
            <w:pPr>
              <w:jc w:val="left"/>
            </w:pPr>
            <w:r>
              <w:rPr>
                <w:b w:val="false"/>
                <w:bCs w:val="false"/>
                <w:color w:val="000000"/>
                <w:sz w:val="20"/>
                <w:szCs w:val="20"/>
              </w:rPr>
              <w:t xml:space="preserve">Dépôt Git (sampts/achats), historisant l'ensemble des évolutions.</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Exécutable Windows</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AchatsContrats.exe + dossier public/ associé, prêts à distribuer.</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Paquet SharePoint</w:t>
            </w:r>
          </w:p>
        </w:tc>
        <w:tc>
          <w:tcPr>
            <w:tcW w:type="dxa" w:w="7400"/>
            <w:tcMar>
              <w:top w:type="dxa" w:w="80"/>
              <w:left w:type="dxa" w:w="100"/>
              <w:bottom w:type="dxa" w:w="80"/>
              <w:right w:type="dxa" w:w="100"/>
            </w:tcMar>
          </w:tcPr>
          <w:p>
            <w:pPr>
              <w:jc w:val="left"/>
            </w:pPr>
            <w:r>
              <w:rPr>
                <w:b w:val="false"/>
                <w:bCs w:val="false"/>
                <w:color w:val="000000"/>
                <w:sz w:val="20"/>
                <w:szCs w:val="20"/>
              </w:rPr>
              <w:t xml:space="preserve">achats-contrats.sppkg, à déposer dans le catalogue d'applications du tenant.</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Guide utilisateur</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Mode d'emploi à destination de l'équipe Achats, couvrant les deux modes d'accès (document séparé).</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Spécifications techniques</w:t>
            </w:r>
          </w:p>
        </w:tc>
        <w:tc>
          <w:tcPr>
            <w:tcW w:type="dxa" w:w="7400"/>
            <w:tcMar>
              <w:top w:type="dxa" w:w="80"/>
              <w:left w:type="dxa" w:w="100"/>
              <w:bottom w:type="dxa" w:w="80"/>
              <w:right w:type="dxa" w:w="100"/>
            </w:tcMar>
          </w:tcPr>
          <w:p>
            <w:pPr>
              <w:jc w:val="left"/>
            </w:pPr>
            <w:r>
              <w:rPr>
                <w:b w:val="false"/>
                <w:bCs w:val="false"/>
                <w:color w:val="000000"/>
                <w:sz w:val="20"/>
                <w:szCs w:val="20"/>
              </w:rPr>
              <w:t xml:space="preserve">Description de l'architecture, du modèle de données et des algorithmes clés, à destination des mainteneurs (document séparé).</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Cahier des charges</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Le présent document, référence du périmètre fonctionnel et des exigences.</w:t>
            </w:r>
          </w:p>
        </w:tc>
      </w:tr>
    </w:tbl>
    <w:p>
      <w:pPr>
        <w:pStyle w:val="Heading1"/>
        <w:pBdr>
          <w:bottom w:val="single" w:color="00874C" w:sz="8" w:space="4"/>
        </w:pBdr>
        <w:spacing w:after="240" w:before="480"/>
      </w:pPr>
      <w:r>
        <w:rPr>
          <w:b/>
          <w:bCs/>
          <w:color w:val="00874C"/>
          <w:sz w:val="32"/>
          <w:szCs w:val="32"/>
        </w:rPr>
        <w:t xml:space="preserve">7. Critères de recette</w:t>
      </w:r>
    </w:p>
    <w:p>
      <w:pPr>
        <w:pStyle w:val="ListParagraph"/>
        <w:numPr>
          <w:ilvl w:val="0"/>
          <w:numId w:val="2"/>
        </w:numPr>
        <w:spacing w:after="80"/>
      </w:pPr>
      <w:r>
        <w:rPr>
          <w:color w:val="000000"/>
          <w:sz w:val="21"/>
          <w:szCs w:val="21"/>
        </w:rPr>
        <w:t xml:space="preserve">Un fichier de conditions déposé deux fois de suite crée bien deux versions distinctes, toutes deux consultables.</w:t>
      </w:r>
    </w:p>
    <w:p>
      <w:pPr>
        <w:pStyle w:val="ListParagraph"/>
        <w:numPr>
          <w:ilvl w:val="0"/>
          <w:numId w:val="2"/>
        </w:numPr>
        <w:spacing w:after="80"/>
      </w:pPr>
      <w:r>
        <w:rPr>
          <w:color w:val="000000"/>
          <w:sz w:val="21"/>
          <w:szCs w:val="21"/>
        </w:rPr>
        <w:t xml:space="preserve">La désactivation/activation d'une version de conditions bascule correctement la version utilisée par la génération.</w:t>
      </w:r>
    </w:p>
    <w:p>
      <w:pPr>
        <w:pStyle w:val="ListParagraph"/>
        <w:numPr>
          <w:ilvl w:val="0"/>
          <w:numId w:val="2"/>
        </w:numPr>
        <w:spacing w:after="80"/>
      </w:pPr>
      <w:r>
        <w:rPr>
          <w:color w:val="000000"/>
          <w:sz w:val="21"/>
          <w:szCs w:val="21"/>
        </w:rPr>
        <w:t xml:space="preserve">Un template dont une variable n'est ni mappée ni marquée « saisie libre » n'est pas proposé pour la génération, et le motif est visible.</w:t>
      </w:r>
    </w:p>
    <w:p>
      <w:pPr>
        <w:pStyle w:val="ListParagraph"/>
        <w:numPr>
          <w:ilvl w:val="0"/>
          <w:numId w:val="2"/>
        </w:numPr>
        <w:spacing w:after="80"/>
      </w:pPr>
      <w:r>
        <w:rPr>
          <w:color w:val="000000"/>
          <w:sz w:val="21"/>
          <w:szCs w:val="21"/>
        </w:rPr>
        <w:t xml:space="preserve">Le renommage d'une colonne dans une nouvelle version du fichier de conditions fait bien passer le statut de mapping des templates concernés à « incomplet », avec le détail de la colonne introuvable.</w:t>
      </w:r>
    </w:p>
    <w:p>
      <w:pPr>
        <w:pStyle w:val="ListParagraph"/>
        <w:numPr>
          <w:ilvl w:val="0"/>
          <w:numId w:val="2"/>
        </w:numPr>
        <w:spacing w:after="80"/>
      </w:pPr>
      <w:r>
        <w:rPr>
          <w:color w:val="000000"/>
          <w:sz w:val="21"/>
          <w:szCs w:val="21"/>
        </w:rPr>
        <w:t xml:space="preserve">Le document Word généré reprend fidèlement la mise en forme du template (styles, tableaux, en-têtes/pieds de page) sans altération visible.</w:t>
      </w:r>
    </w:p>
    <w:p>
      <w:pPr>
        <w:pStyle w:val="ListParagraph"/>
        <w:numPr>
          <w:ilvl w:val="0"/>
          <w:numId w:val="2"/>
        </w:numPr>
        <w:spacing w:after="80"/>
      </w:pPr>
      <w:r>
        <w:rPr>
          <w:color w:val="000000"/>
          <w:sz w:val="21"/>
          <w:szCs w:val="21"/>
        </w:rPr>
        <w:t xml:space="preserve">Chaque génération de contrat apparaît dans le journal, avec les informations attendues (template, conditions, code, date, auteur).</w:t>
      </w:r>
    </w:p>
    <w:p>
      <w:pPr>
        <w:pStyle w:val="ListParagraph"/>
        <w:numPr>
          <w:ilvl w:val="0"/>
          <w:numId w:val="2"/>
        </w:numPr>
        <w:spacing w:after="80"/>
      </w:pPr>
      <w:r>
        <w:rPr>
          <w:color w:val="000000"/>
          <w:sz w:val="21"/>
          <w:szCs w:val="21"/>
        </w:rPr>
        <w:t xml:space="preserve">L'exécutable démarre par un simple double-clic sur un poste Windows sans Node.js installé, et ouvre le navigateur automatiquement.</w:t>
      </w:r>
    </w:p>
    <w:p>
      <w:pPr>
        <w:pStyle w:val="ListParagraph"/>
        <w:numPr>
          <w:ilvl w:val="0"/>
          <w:numId w:val="2"/>
        </w:numPr>
        <w:spacing w:after="80"/>
      </w:pPr>
      <w:r>
        <w:rPr>
          <w:color w:val="000000"/>
          <w:sz w:val="21"/>
          <w:szCs w:val="21"/>
        </w:rPr>
        <w:t xml:space="preserve">Le web part SharePoint, ajouté sur une page d'un site où il n'a jamais été utilisé, crée automatiquement les listes et bibliothèques nécessaires sans intervention manuelle, et affiche le même parcours en trois étapes que l'exécutable.</w:t>
      </w:r>
    </w:p>
    <w:p>
      <w:pPr>
        <w:pStyle w:val="Heading1"/>
        <w:pBdr>
          <w:bottom w:val="single" w:color="00874C" w:sz="8" w:space="4"/>
        </w:pBdr>
        <w:spacing w:after="240" w:before="480"/>
      </w:pPr>
      <w:r>
        <w:rPr>
          <w:b/>
          <w:bCs/>
          <w:color w:val="00874C"/>
          <w:sz w:val="32"/>
          <w:szCs w:val="32"/>
        </w:rPr>
        <w:t xml:space="preserve">8. Historique des versions du document</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1600"/>
        <w:gridCol w:w="8400"/>
      </w:tblGrid>
      <w:tr>
        <w:trPr>
          <w:tblHeader/>
        </w:trPr>
        <w:tc>
          <w:tcPr>
            <w:tcW w:type="dxa" w:w="1600"/>
            <w:shd w:fill="00874C" w:val="clear"/>
            <w:tcMar>
              <w:top w:type="dxa" w:w="80"/>
              <w:left w:type="dxa" w:w="100"/>
              <w:bottom w:type="dxa" w:w="80"/>
              <w:right w:type="dxa" w:w="100"/>
            </w:tcMar>
          </w:tcPr>
          <w:p>
            <w:pPr>
              <w:jc w:val="left"/>
            </w:pPr>
            <w:r>
              <w:rPr>
                <w:b/>
                <w:bCs/>
                <w:color w:val="FFFFFF"/>
                <w:sz w:val="20"/>
                <w:szCs w:val="20"/>
              </w:rPr>
              <w:t xml:space="preserve">Version</w:t>
            </w:r>
          </w:p>
        </w:tc>
        <w:tc>
          <w:tcPr>
            <w:tcW w:type="dxa" w:w="8400"/>
            <w:shd w:fill="00874C" w:val="clear"/>
            <w:tcMar>
              <w:top w:type="dxa" w:w="80"/>
              <w:left w:type="dxa" w:w="100"/>
              <w:bottom w:type="dxa" w:w="80"/>
              <w:right w:type="dxa" w:w="100"/>
            </w:tcMar>
          </w:tcPr>
          <w:p>
            <w:pPr>
              <w:jc w:val="left"/>
            </w:pPr>
            <w:r>
              <w:rPr>
                <w:b/>
                <w:bCs/>
                <w:color w:val="FFFFFF"/>
                <w:sz w:val="20"/>
                <w:szCs w:val="20"/>
              </w:rPr>
              <w:t xml:space="preserve">Contenu</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1.0</w:t>
            </w:r>
          </w:p>
        </w:tc>
        <w:tc>
          <w:tcPr>
            <w:tcW w:type="dxa" w:w="8400"/>
            <w:tcMar>
              <w:top w:type="dxa" w:w="80"/>
              <w:left w:type="dxa" w:w="100"/>
              <w:bottom w:type="dxa" w:w="80"/>
              <w:right w:type="dxa" w:w="100"/>
            </w:tcMar>
          </w:tcPr>
          <w:p>
            <w:pPr>
              <w:jc w:val="left"/>
            </w:pPr>
            <w:r>
              <w:rPr>
                <w:b w:val="false"/>
                <w:bCs w:val="false"/>
                <w:color w:val="000000"/>
                <w:sz w:val="20"/>
                <w:szCs w:val="20"/>
              </w:rPr>
              <w:t xml:space="preserve">Périmètre initial : application livrée sous forme d'exécutable Windows autonome uniquement.</w:t>
            </w:r>
          </w:p>
        </w:tc>
      </w:tr>
      <w:tr>
        <w:tc>
          <w:tcPr>
            <w:tcW w:type="dxa" w:w="1600"/>
            <w:shd w:fill="F5F6F8" w:val="clear"/>
            <w:tcMar>
              <w:top w:type="dxa" w:w="80"/>
              <w:left w:type="dxa" w:w="100"/>
              <w:bottom w:type="dxa" w:w="80"/>
              <w:right w:type="dxa" w:w="100"/>
            </w:tcMar>
          </w:tcPr>
          <w:p>
            <w:pPr>
              <w:jc w:val="left"/>
            </w:pPr>
            <w:r>
              <w:rPr>
                <w:b w:val="false"/>
                <w:bCs w:val="false"/>
                <w:color w:val="000000"/>
                <w:sz w:val="20"/>
                <w:szCs w:val="20"/>
              </w:rPr>
              <w:t xml:space="preserve">2.0</w:t>
            </w:r>
          </w:p>
        </w:tc>
        <w:tc>
          <w:tcPr>
            <w:tcW w:type="dxa" w:w="8400"/>
            <w:shd w:fill="F5F6F8" w:val="clear"/>
            <w:tcMar>
              <w:top w:type="dxa" w:w="80"/>
              <w:left w:type="dxa" w:w="100"/>
              <w:bottom w:type="dxa" w:w="80"/>
              <w:right w:type="dxa" w:w="100"/>
            </w:tcMar>
          </w:tcPr>
          <w:p>
            <w:pPr>
              <w:jc w:val="left"/>
            </w:pPr>
            <w:r>
              <w:rPr>
                <w:b w:val="false"/>
                <w:bCs w:val="false"/>
                <w:color w:val="000000"/>
                <w:sz w:val="20"/>
                <w:szCs w:val="20"/>
              </w:rPr>
              <w:t xml:space="preserve">Ajout du mode de déploiement SharePoint Online (web part SPFx) ; mise à jour des contraintes (parsing Excel multi-onglets/multi-lignes d'en-tête) et des exigences non fonctionnelles (sécurité réseau, auto-provisionnement).</w:t>
            </w:r>
          </w:p>
        </w:tc>
      </w:tr>
    </w:tbl>
    <w:p>
      <w:pPr>
        <w:pStyle w:val="Heading1"/>
        <w:pBdr>
          <w:bottom w:val="single" w:color="00874C" w:sz="8" w:space="4"/>
        </w:pBdr>
        <w:spacing w:after="240" w:before="480"/>
      </w:pPr>
      <w:r>
        <w:rPr>
          <w:b/>
          <w:bCs/>
          <w:color w:val="00874C"/>
          <w:sz w:val="32"/>
          <w:szCs w:val="32"/>
        </w:rPr>
        <w:t xml:space="preserve">9. Glossaire</w:t>
      </w:r>
    </w:p>
    <w:tbl>
      <w:tblPr>
        <w:tblW w:type="dxa" w:w="10000"/>
        <w:tblBorders>
          <w:top w:val="single" w:color="DDE1E6" w:sz="4"/>
          <w:left w:val="single" w:color="DDE1E6" w:sz="4"/>
          <w:bottom w:val="single" w:color="DDE1E6" w:sz="4"/>
          <w:right w:val="single" w:color="DDE1E6" w:sz="4"/>
          <w:insideH w:val="single" w:color="DDE1E6" w:sz="4"/>
          <w:insideV w:val="single" w:color="DDE1E6" w:sz="4"/>
        </w:tblBorders>
      </w:tblPr>
      <w:tblGrid>
        <w:gridCol w:w="2600"/>
        <w:gridCol w:w="7400"/>
      </w:tblGrid>
      <w:tr>
        <w:trPr>
          <w:tblHeader/>
        </w:trPr>
        <w:tc>
          <w:tcPr>
            <w:tcW w:type="dxa" w:w="2600"/>
            <w:shd w:fill="00874C" w:val="clear"/>
            <w:tcMar>
              <w:top w:type="dxa" w:w="80"/>
              <w:left w:type="dxa" w:w="100"/>
              <w:bottom w:type="dxa" w:w="80"/>
              <w:right w:type="dxa" w:w="100"/>
            </w:tcMar>
          </w:tcPr>
          <w:p>
            <w:pPr>
              <w:jc w:val="left"/>
            </w:pPr>
            <w:r>
              <w:rPr>
                <w:b/>
                <w:bCs/>
                <w:color w:val="FFFFFF"/>
                <w:sz w:val="20"/>
                <w:szCs w:val="20"/>
              </w:rPr>
              <w:t xml:space="preserve">Terme</w:t>
            </w:r>
          </w:p>
        </w:tc>
        <w:tc>
          <w:tcPr>
            <w:tcW w:type="dxa" w:w="7400"/>
            <w:shd w:fill="00874C" w:val="clear"/>
            <w:tcMar>
              <w:top w:type="dxa" w:w="80"/>
              <w:left w:type="dxa" w:w="100"/>
              <w:bottom w:type="dxa" w:w="80"/>
              <w:right w:type="dxa" w:w="100"/>
            </w:tcMar>
          </w:tcPr>
          <w:p>
            <w:pPr>
              <w:jc w:val="left"/>
            </w:pPr>
            <w:r>
              <w:rPr>
                <w:b/>
                <w:bCs/>
                <w:color w:val="FFFFFF"/>
                <w:sz w:val="20"/>
                <w:szCs w:val="20"/>
              </w:rPr>
              <w:t xml:space="preserve">Définition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Conditions commerciales</w:t>
            </w:r>
          </w:p>
        </w:tc>
        <w:tc>
          <w:tcPr>
            <w:tcW w:type="dxa" w:w="7400"/>
            <w:tcMar>
              <w:top w:type="dxa" w:w="80"/>
              <w:left w:type="dxa" w:w="100"/>
              <w:bottom w:type="dxa" w:w="80"/>
              <w:right w:type="dxa" w:w="100"/>
            </w:tcMar>
          </w:tcPr>
          <w:p>
            <w:pPr>
              <w:jc w:val="left"/>
            </w:pPr>
            <w:r>
              <w:rPr>
                <w:b w:val="false"/>
                <w:bCs w:val="false"/>
                <w:color w:val="000000"/>
                <w:sz w:val="20"/>
                <w:szCs w:val="20"/>
              </w:rPr>
              <w:t xml:space="preserve">Ensemble des termes négociés avec un fournisseur pour un code sous-segment donné, consignés dans le fichier Excel de référence.</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Code sous-segment</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Identifiant utilisé pour retrouver la ligne de conditions applicable à un fournisseur/une marque.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Template</w:t>
            </w:r>
          </w:p>
        </w:tc>
        <w:tc>
          <w:tcPr>
            <w:tcW w:type="dxa" w:w="7400"/>
            <w:tcMar>
              <w:top w:type="dxa" w:w="80"/>
              <w:left w:type="dxa" w:w="100"/>
              <w:bottom w:type="dxa" w:w="80"/>
              <w:right w:type="dxa" w:w="100"/>
            </w:tcMar>
          </w:tcPr>
          <w:p>
            <w:pPr>
              <w:jc w:val="left"/>
            </w:pPr>
            <w:r>
              <w:rPr>
                <w:b w:val="false"/>
                <w:bCs w:val="false"/>
                <w:color w:val="000000"/>
                <w:sz w:val="20"/>
                <w:szCs w:val="20"/>
              </w:rPr>
              <w:t xml:space="preserve">Modèle de contrat Word contenant des variables à compléter.</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Mapping</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Correspondance entre les variables d'un template et les colonnes du fichier de conditions.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Version active</w:t>
            </w:r>
          </w:p>
        </w:tc>
        <w:tc>
          <w:tcPr>
            <w:tcW w:type="dxa" w:w="7400"/>
            <w:tcMar>
              <w:top w:type="dxa" w:w="80"/>
              <w:left w:type="dxa" w:w="100"/>
              <w:bottom w:type="dxa" w:w="80"/>
              <w:right w:type="dxa" w:w="100"/>
            </w:tcMar>
          </w:tcPr>
          <w:p>
            <w:pPr>
              <w:jc w:val="left"/>
            </w:pPr>
            <w:r>
              <w:rPr>
                <w:b w:val="false"/>
                <w:bCs w:val="false"/>
                <w:color w:val="000000"/>
                <w:sz w:val="20"/>
                <w:szCs w:val="20"/>
              </w:rPr>
              <w:t xml:space="preserve">La version du fichier de conditions utilisée par défaut pour la génération.</w:t>
            </w:r>
          </w:p>
        </w:tc>
      </w:tr>
      <w:tr>
        <w:tc>
          <w:tcPr>
            <w:tcW w:type="dxa" w:w="2600"/>
            <w:shd w:fill="F5F6F8" w:val="clear"/>
            <w:tcMar>
              <w:top w:type="dxa" w:w="80"/>
              <w:left w:type="dxa" w:w="100"/>
              <w:bottom w:type="dxa" w:w="80"/>
              <w:right w:type="dxa" w:w="100"/>
            </w:tcMar>
          </w:tcPr>
          <w:p>
            <w:pPr>
              <w:jc w:val="left"/>
            </w:pPr>
            <w:r>
              <w:rPr>
                <w:b w:val="false"/>
                <w:bCs w:val="false"/>
                <w:color w:val="000000"/>
                <w:sz w:val="20"/>
                <w:szCs w:val="20"/>
              </w:rPr>
              <w:t xml:space="preserve">Saisie libre</w:t>
            </w:r>
          </w:p>
        </w:tc>
        <w:tc>
          <w:tcPr>
            <w:tcW w:type="dxa" w:w="7400"/>
            <w:shd w:fill="F5F6F8" w:val="clear"/>
            <w:tcMar>
              <w:top w:type="dxa" w:w="80"/>
              <w:left w:type="dxa" w:w="100"/>
              <w:bottom w:type="dxa" w:w="80"/>
              <w:right w:type="dxa" w:w="100"/>
            </w:tcMar>
          </w:tcPr>
          <w:p>
            <w:pPr>
              <w:jc w:val="left"/>
            </w:pPr>
            <w:r>
              <w:rPr>
                <w:b w:val="false"/>
                <w:bCs w:val="false"/>
                <w:color w:val="000000"/>
                <w:sz w:val="20"/>
                <w:szCs w:val="20"/>
              </w:rPr>
              <w:t xml:space="preserve">Variable d'un template volontairement non reliée à une colonne, à renseigner manuellement à chaque génération.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87B"/>
        <w:sz w:val="16"/>
        <w:szCs w:val="16"/>
      </w:rPr>
      <w:t xml:space="preserve">Générateur de contrats fournisseurs — page </w:t>
    </w:r>
    <w:r>
      <w:rPr>
        <w:color w:val="75787B"/>
        <w:sz w:val="16"/>
        <w:szCs w:val="16"/>
      </w:rPr>
      <w:fldChar w:fldCharType="begin"/>
      <w:instrText xml:space="preserve">PAGE</w:instrText>
      <w:fldChar w:fldCharType="separate"/>
      <w:fldChar w:fldCharType="end"/>
    </w:r>
    <w:r>
      <w:rPr>
        <w:color w:val="75787B"/>
        <w:sz w:val="16"/>
        <w:szCs w:val="16"/>
      </w:rPr>
      <w:t xml:space="preserve"> / </w:t>
    </w:r>
    <w:r>
      <w:rPr>
        <w:color w:val="7578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6" w:sz="4" w:space="4"/>
      </w:pBdr>
      <w:jc w:val="right"/>
    </w:pPr>
    <w:r>
      <w:rPr>
        <w:b/>
        <w:bCs/>
        <w:color w:val="75787B"/>
        <w:sz w:val="16"/>
        <w:szCs w:val="16"/>
      </w:rPr>
      <w:t xml:space="preserve">PRINTEMPS</w:t>
    </w:r>
    <w:r>
      <w:rPr>
        <w:color w:val="75787B"/>
        <w:sz w:val="16"/>
        <w:szCs w:val="16"/>
      </w:rPr>
      <w:t xml:space="preserv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2026-08-19T08:12:30.290Z</dcterms:created>
  <dcterms:modified xsi:type="dcterms:W3CDTF">2026-08-19T08:12:30.309Z</dcterms:modified>
</cp:coreProperties>
</file>

<file path=docProps/custom.xml><?xml version="1.0" encoding="utf-8"?>
<Properties xmlns="http://schemas.openxmlformats.org/officeDocument/2006/custom-properties" xmlns:vt="http://schemas.openxmlformats.org/officeDocument/2006/docPropsVTypes"/>
</file>