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EBEF4" w14:textId="77777777" w:rsidR="00397D43" w:rsidRDefault="00000000">
      <w:pPr>
        <w:spacing w:after="240"/>
      </w:pPr>
      <w:r>
        <w:rPr>
          <w:b/>
          <w:bCs/>
          <w:sz w:val="28"/>
          <w:szCs w:val="28"/>
        </w:rPr>
        <w:t>Reading 1 (completed): NIST Artificial Intelligence Risk Management Framework (AI RMF 1.0)</w:t>
      </w:r>
    </w:p>
    <w:p w14:paraId="62A6CF76" w14:textId="77777777" w:rsidR="00397D43" w:rsidRDefault="00000000">
      <w:pPr>
        <w:spacing w:before="240" w:after="120"/>
      </w:pPr>
      <w:r>
        <w:rPr>
          <w:b/>
          <w:bCs/>
          <w:sz w:val="24"/>
          <w:szCs w:val="24"/>
        </w:rPr>
        <w:t>What to look for as you read:</w:t>
      </w:r>
    </w:p>
    <w:p w14:paraId="3471CED0" w14:textId="77777777" w:rsidR="00397D43" w:rsidRDefault="00000000">
      <w:pPr>
        <w:pStyle w:val="ListParagraph"/>
        <w:numPr>
          <w:ilvl w:val="0"/>
          <w:numId w:val="2"/>
        </w:numPr>
        <w:spacing w:after="80"/>
      </w:pPr>
      <w:r>
        <w:t>The four GOVERN–MAP–MEASURE–MANAGE functions: what is each responsible for?</w:t>
      </w:r>
    </w:p>
    <w:p w14:paraId="0D17DF73" w14:textId="77777777" w:rsidR="00397D43" w:rsidRDefault="00000000">
      <w:pPr>
        <w:pBdr>
          <w:left w:val="single" w:sz="12" w:space="12" w:color="BFBFBF"/>
        </w:pBdr>
        <w:spacing w:after="160"/>
        <w:ind w:left="720"/>
      </w:pPr>
      <w:r>
        <w:t>GOVERN builds the standing organizational foundation (policies, roles, accountability, culture); MAP frames each system’s context and risks; MEASURE analyzes and tracks them through testing (TEVV); MANAGE prioritizes and responds (pp. 20–31). GOVERN cross-cuts; the rest iterate per system.</w:t>
      </w:r>
    </w:p>
    <w:p w14:paraId="67E4091B" w14:textId="55C27781" w:rsidR="00397D43" w:rsidRDefault="00000000">
      <w:pPr>
        <w:pStyle w:val="ListParagraph"/>
        <w:numPr>
          <w:ilvl w:val="0"/>
          <w:numId w:val="2"/>
        </w:numPr>
        <w:spacing w:after="80"/>
      </w:pPr>
      <w:r>
        <w:t>‘AI risks’ vs. ‘AI trustworthiness properties’ which does our institution’s current guidance address?</w:t>
      </w:r>
    </w:p>
    <w:p w14:paraId="323E31D8" w14:textId="77777777" w:rsidR="00397D43" w:rsidRDefault="00000000">
      <w:pPr>
        <w:pBdr>
          <w:left w:val="single" w:sz="12" w:space="12" w:color="BFBFBF"/>
        </w:pBdr>
        <w:spacing w:after="160"/>
        <w:ind w:left="720"/>
      </w:pPr>
      <w:r>
        <w:t>Risk is probability × “magnitude or degree of the consequences” (p. 4); the seven characteristics (p. 12) are what justifies trust. U of A guidance centers on privacy and security; explainability, fairness, and validity testing are largely unaddressed.</w:t>
      </w:r>
    </w:p>
    <w:p w14:paraId="170AE790" w14:textId="77777777" w:rsidR="00397D43" w:rsidRDefault="00000000">
      <w:pPr>
        <w:pStyle w:val="ListParagraph"/>
        <w:numPr>
          <w:ilvl w:val="0"/>
          <w:numId w:val="2"/>
        </w:numPr>
        <w:spacing w:after="80"/>
      </w:pPr>
      <w:r>
        <w:t>The concept of ‘AI actors’ — which role best describes my professional relationship to AI tools?</w:t>
      </w:r>
    </w:p>
    <w:p w14:paraId="18624CB7" w14:textId="77777777" w:rsidR="00397D43" w:rsidRDefault="00000000">
      <w:pPr>
        <w:pBdr>
          <w:left w:val="single" w:sz="12" w:space="12" w:color="BFBFBF"/>
        </w:pBdr>
        <w:spacing w:after="160"/>
        <w:ind w:left="720"/>
      </w:pPr>
      <w:r>
        <w:t>NIST adopts OECD’s definition: “those who play an active role in the AI system lifecycle, including organizations and individuals that deploy or operate AI” (p. 2). As lab manager I am an Operation and Monitoring actor: deploying tools, interpreting outputs, monitoring use (App. A).</w:t>
      </w:r>
    </w:p>
    <w:p w14:paraId="0E25D450" w14:textId="6DE3684D" w:rsidR="00397D43" w:rsidRDefault="00000000">
      <w:pPr>
        <w:pStyle w:val="ListParagraph"/>
        <w:numPr>
          <w:ilvl w:val="0"/>
          <w:numId w:val="2"/>
        </w:numPr>
        <w:spacing w:after="80"/>
      </w:pPr>
      <w:r>
        <w:t>What the framework does NOT specify one advantage and one limitation of the principles-based approach.</w:t>
      </w:r>
    </w:p>
    <w:p w14:paraId="5C4EADA5" w14:textId="582DB85B" w:rsidR="00397D43" w:rsidRDefault="00000000">
      <w:pPr>
        <w:pBdr>
          <w:left w:val="single" w:sz="12" w:space="12" w:color="BFBFBF"/>
        </w:pBdr>
        <w:spacing w:after="160"/>
        <w:ind w:left="720"/>
      </w:pPr>
      <w:r>
        <w:t>NIST mandates no structures, metrics, thresholds, or templates; it is “voluntary, rights-preserving, non-sector-specific, and use-case agnostic” (p. 2). Advantage: it scales from a federal agency to one soil lab. Limitation: no compliance floor adoption can be claimed without measurable change (p. 19).</w:t>
      </w:r>
    </w:p>
    <w:p w14:paraId="51686FB4" w14:textId="77777777" w:rsidR="00397D43" w:rsidRDefault="00000000">
      <w:pPr>
        <w:spacing w:before="240" w:after="120"/>
      </w:pPr>
      <w:r>
        <w:rPr>
          <w:b/>
          <w:bCs/>
          <w:sz w:val="24"/>
          <w:szCs w:val="24"/>
        </w:rPr>
        <w:t>Guided reading questions:</w:t>
      </w:r>
    </w:p>
    <w:p w14:paraId="2E922149" w14:textId="77777777" w:rsidR="00397D43" w:rsidRDefault="00000000">
      <w:pPr>
        <w:pStyle w:val="ListParagraph"/>
        <w:numPr>
          <w:ilvl w:val="0"/>
          <w:numId w:val="2"/>
        </w:numPr>
        <w:spacing w:after="80"/>
      </w:pPr>
      <w:r>
        <w:rPr>
          <w:b/>
          <w:bCs/>
        </w:rPr>
        <w:t xml:space="preserve">Q1: </w:t>
      </w:r>
      <w:r>
        <w:t>What does each of the four functions cover, and what happens in an organization that has only implemented GOVERN without MAP or MEASURE?</w:t>
      </w:r>
    </w:p>
    <w:p w14:paraId="3713BFA4" w14:textId="03537B9C" w:rsidR="00397D43" w:rsidRDefault="00000000">
      <w:pPr>
        <w:pBdr>
          <w:left w:val="single" w:sz="12" w:space="12" w:color="BFBFBF"/>
        </w:pBdr>
        <w:spacing w:after="160"/>
        <w:ind w:left="720"/>
      </w:pPr>
      <w:r>
        <w:rPr>
          <w:b/>
          <w:bCs/>
        </w:rPr>
        <w:t xml:space="preserve">Answer: </w:t>
      </w:r>
      <w:r>
        <w:t>GOVERN: standing policies, accountability, training, culture. MAP: system context and risk identification. MEASURE: TEVV testing and tracking. MANAGE: prioritized response and recovery. GOVERN alone means paper policy over unmeasured risks “Without contextual knowledge... risk management is difficult to perform” (p. 25).</w:t>
      </w:r>
    </w:p>
    <w:p w14:paraId="0BABD36B" w14:textId="77777777" w:rsidR="00397D43" w:rsidRDefault="00000000">
      <w:pPr>
        <w:pStyle w:val="ListParagraph"/>
        <w:numPr>
          <w:ilvl w:val="0"/>
          <w:numId w:val="2"/>
        </w:numPr>
        <w:spacing w:after="80"/>
      </w:pPr>
      <w:r>
        <w:rPr>
          <w:b/>
          <w:bCs/>
        </w:rPr>
        <w:t xml:space="preserve">Q2: </w:t>
      </w:r>
      <w:r>
        <w:t>Which three trustworthiness properties are most relevant to AI used in student-facing services at a university, and why?</w:t>
      </w:r>
    </w:p>
    <w:p w14:paraId="59DA655E" w14:textId="77777777" w:rsidR="00397D43" w:rsidRDefault="00000000">
      <w:pPr>
        <w:pBdr>
          <w:left w:val="single" w:sz="12" w:space="12" w:color="BFBFBF"/>
        </w:pBdr>
        <w:spacing w:after="160"/>
        <w:ind w:left="720"/>
      </w:pPr>
      <w:r>
        <w:rPr>
          <w:b/>
          <w:bCs/>
        </w:rPr>
        <w:t xml:space="preserve">Answer: </w:t>
      </w:r>
      <w:r>
        <w:t>Privacy-enhanced: student-facing systems run on FERPA-protected records and disclosures. Valid and reliable: wrong advising outputs misdirect real student decisions. Accountable and transparent: students must know when AI shaped an outcome and can contest it (pp. 12–17).</w:t>
      </w:r>
    </w:p>
    <w:p w14:paraId="2A6FBB84" w14:textId="20233FCE" w:rsidR="00397D43" w:rsidRDefault="00000000">
      <w:pPr>
        <w:pStyle w:val="ListParagraph"/>
        <w:numPr>
          <w:ilvl w:val="0"/>
          <w:numId w:val="2"/>
        </w:numPr>
        <w:spacing w:after="80"/>
      </w:pPr>
      <w:r>
        <w:rPr>
          <w:b/>
          <w:bCs/>
        </w:rPr>
        <w:t xml:space="preserve">Q3: </w:t>
      </w:r>
      <w:r>
        <w:t xml:space="preserve">The framework is </w:t>
      </w:r>
      <w:r w:rsidR="00D20C9C">
        <w:t>voluntary what</w:t>
      </w:r>
      <w:r>
        <w:t xml:space="preserve"> incentive structures might make it de facto mandatory for research universities?</w:t>
      </w:r>
    </w:p>
    <w:p w14:paraId="1B796DCE" w14:textId="77777777" w:rsidR="00397D43" w:rsidRDefault="00000000">
      <w:pPr>
        <w:pBdr>
          <w:left w:val="single" w:sz="12" w:space="12" w:color="BFBFBF"/>
        </w:pBdr>
        <w:spacing w:after="160"/>
        <w:ind w:left="720"/>
      </w:pPr>
      <w:r>
        <w:rPr>
          <w:b/>
          <w:bCs/>
        </w:rPr>
        <w:t xml:space="preserve">Answer: </w:t>
      </w:r>
      <w:r>
        <w:t>Federal agencies can write NIST-aligned AI terms into grant and contract conditions, accreditors can fold the RMF into standards, and courts and insurers can treat it as the standard of care. An institution dependent on federal research funding then complies “voluntarily.”</w:t>
      </w:r>
    </w:p>
    <w:p w14:paraId="1C7629D1" w14:textId="77777777" w:rsidR="00397D43" w:rsidRDefault="00000000">
      <w:pPr>
        <w:pStyle w:val="ListParagraph"/>
        <w:numPr>
          <w:ilvl w:val="0"/>
          <w:numId w:val="2"/>
        </w:numPr>
        <w:spacing w:after="80"/>
      </w:pPr>
      <w:r>
        <w:rPr>
          <w:b/>
          <w:bCs/>
        </w:rPr>
        <w:t xml:space="preserve">Q4: </w:t>
      </w:r>
      <w:r>
        <w:t>How does NIST’s definition of AI risk compare to how our institution currently discusses AI risk? What is missed?</w:t>
      </w:r>
    </w:p>
    <w:p w14:paraId="7C2EF051" w14:textId="77777777" w:rsidR="00397D43" w:rsidRDefault="00000000">
      <w:pPr>
        <w:pBdr>
          <w:left w:val="single" w:sz="12" w:space="12" w:color="BFBFBF"/>
        </w:pBdr>
        <w:spacing w:after="160"/>
        <w:ind w:left="720"/>
      </w:pPr>
      <w:r>
        <w:rPr>
          <w:b/>
          <w:bCs/>
        </w:rPr>
        <w:t xml:space="preserve">Answer: </w:t>
      </w:r>
      <w:r>
        <w:t>NIST’s risk is probability × magnitude of harm to individuals, organizations, society, and the planet (p. 4, Fig. 1). U of A guidance frames AI risk mainly as data privacy/security and academic integrity; it largely omits validity testing, bias, post-deployment monitoring, and environmental impact.</w:t>
      </w:r>
    </w:p>
    <w:p w14:paraId="2FC658E0" w14:textId="77777777" w:rsidR="00397D43" w:rsidRDefault="00000000">
      <w:pPr>
        <w:spacing w:before="240" w:after="120"/>
      </w:pPr>
      <w:r>
        <w:rPr>
          <w:b/>
          <w:bCs/>
          <w:sz w:val="24"/>
          <w:szCs w:val="24"/>
        </w:rPr>
        <w:lastRenderedPageBreak/>
        <w:t>Key terms — my own definitions: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80"/>
      </w:tblGrid>
      <w:tr w:rsidR="00397D43" w14:paraId="0539FDD5" w14:textId="77777777">
        <w:tblPrEx>
          <w:tblCellMar>
            <w:top w:w="0" w:type="dxa"/>
            <w:bottom w:w="0" w:type="dxa"/>
          </w:tblCellMar>
        </w:tblPrEx>
        <w:trPr>
          <w:tblHeader/>
        </w:trPr>
        <w:tc>
          <w:tcPr>
            <w:tcW w:w="3200" w:type="dxa"/>
            <w:shd w:val="clear" w:color="auto" w:fill="E8E8E8"/>
            <w:tcMar>
              <w:top w:w="60" w:type="dxa"/>
              <w:left w:w="100" w:type="dxa"/>
              <w:bottom w:w="60" w:type="dxa"/>
              <w:right w:w="100" w:type="dxa"/>
            </w:tcMar>
          </w:tcPr>
          <w:p w14:paraId="674C502E" w14:textId="77777777" w:rsidR="00397D43" w:rsidRDefault="00000000">
            <w:r>
              <w:rPr>
                <w:b/>
                <w:bCs/>
              </w:rPr>
              <w:t>Term</w:t>
            </w:r>
          </w:p>
        </w:tc>
        <w:tc>
          <w:tcPr>
            <w:tcW w:w="6880" w:type="dxa"/>
            <w:shd w:val="clear" w:color="auto" w:fill="E8E8E8"/>
            <w:tcMar>
              <w:top w:w="60" w:type="dxa"/>
              <w:left w:w="100" w:type="dxa"/>
              <w:bottom w:w="60" w:type="dxa"/>
              <w:right w:w="100" w:type="dxa"/>
            </w:tcMar>
          </w:tcPr>
          <w:p w14:paraId="75ACE780" w14:textId="77777777" w:rsidR="00397D43" w:rsidRDefault="00000000">
            <w:r>
              <w:rPr>
                <w:b/>
                <w:bCs/>
              </w:rPr>
              <w:t>My definition (in my own words)</w:t>
            </w:r>
          </w:p>
        </w:tc>
      </w:tr>
      <w:tr w:rsidR="00397D43" w14:paraId="17223A95" w14:textId="77777777">
        <w:tblPrEx>
          <w:tblCellMar>
            <w:top w:w="0" w:type="dxa"/>
            <w:bottom w:w="0" w:type="dxa"/>
          </w:tblCellMar>
        </w:tblPrEx>
        <w:tc>
          <w:tcPr>
            <w:tcW w:w="3200" w:type="dxa"/>
            <w:tcMar>
              <w:top w:w="60" w:type="dxa"/>
              <w:left w:w="100" w:type="dxa"/>
              <w:bottom w:w="60" w:type="dxa"/>
              <w:right w:w="100" w:type="dxa"/>
            </w:tcMar>
          </w:tcPr>
          <w:p w14:paraId="1CCB9040" w14:textId="77777777" w:rsidR="00397D43" w:rsidRDefault="00000000">
            <w:pPr>
              <w:spacing w:after="40"/>
            </w:pPr>
            <w:r>
              <w:t>AI RMF Core functions (GOVERN, MAP, MEASURE, MANAGE)</w:t>
            </w:r>
          </w:p>
        </w:tc>
        <w:tc>
          <w:tcPr>
            <w:tcW w:w="6880" w:type="dxa"/>
            <w:tcMar>
              <w:top w:w="60" w:type="dxa"/>
              <w:left w:w="100" w:type="dxa"/>
              <w:bottom w:w="60" w:type="dxa"/>
              <w:right w:w="100" w:type="dxa"/>
            </w:tcMar>
          </w:tcPr>
          <w:p w14:paraId="48699FBF" w14:textId="77777777" w:rsidR="00397D43" w:rsidRDefault="00000000">
            <w:pPr>
              <w:spacing w:after="40"/>
            </w:pPr>
            <w:r>
              <w:t>One standing function (GOVERN: policies, roles, culture) plus three per-system functions: frame context (MAP), test and track (MEASURE), and act on findings (MANAGE), iterating across the lifecycle.</w:t>
            </w:r>
          </w:p>
        </w:tc>
      </w:tr>
      <w:tr w:rsidR="00397D43" w14:paraId="1C24D446" w14:textId="77777777">
        <w:tblPrEx>
          <w:tblCellMar>
            <w:top w:w="0" w:type="dxa"/>
            <w:bottom w:w="0" w:type="dxa"/>
          </w:tblCellMar>
        </w:tblPrEx>
        <w:tc>
          <w:tcPr>
            <w:tcW w:w="3200" w:type="dxa"/>
            <w:tcMar>
              <w:top w:w="60" w:type="dxa"/>
              <w:left w:w="100" w:type="dxa"/>
              <w:bottom w:w="60" w:type="dxa"/>
              <w:right w:w="100" w:type="dxa"/>
            </w:tcMar>
          </w:tcPr>
          <w:p w14:paraId="172E1197" w14:textId="77777777" w:rsidR="00397D43" w:rsidRDefault="00000000">
            <w:pPr>
              <w:spacing w:after="40"/>
            </w:pPr>
            <w:r>
              <w:t>AI trustworthiness properties</w:t>
            </w:r>
          </w:p>
        </w:tc>
        <w:tc>
          <w:tcPr>
            <w:tcW w:w="6880" w:type="dxa"/>
            <w:tcMar>
              <w:top w:w="60" w:type="dxa"/>
              <w:left w:w="100" w:type="dxa"/>
              <w:bottom w:w="60" w:type="dxa"/>
              <w:right w:w="100" w:type="dxa"/>
            </w:tcMar>
          </w:tcPr>
          <w:p w14:paraId="5D658ED1" w14:textId="77777777" w:rsidR="00397D43" w:rsidRDefault="00000000">
            <w:pPr>
              <w:spacing w:after="40"/>
            </w:pPr>
            <w:r>
              <w:t>The attributes that justify trusting a system — valid/reliable, safe, secure/resilient, accountable/transparent, explainable/interpretable, privacy-enhanced, fair — balanced as context-dependent tradeoffs.</w:t>
            </w:r>
          </w:p>
        </w:tc>
      </w:tr>
      <w:tr w:rsidR="00397D43" w14:paraId="2D738683" w14:textId="77777777">
        <w:tblPrEx>
          <w:tblCellMar>
            <w:top w:w="0" w:type="dxa"/>
            <w:bottom w:w="0" w:type="dxa"/>
          </w:tblCellMar>
        </w:tblPrEx>
        <w:tc>
          <w:tcPr>
            <w:tcW w:w="3200" w:type="dxa"/>
            <w:tcMar>
              <w:top w:w="60" w:type="dxa"/>
              <w:left w:w="100" w:type="dxa"/>
              <w:bottom w:w="60" w:type="dxa"/>
              <w:right w:w="100" w:type="dxa"/>
            </w:tcMar>
          </w:tcPr>
          <w:p w14:paraId="4BF04DEE" w14:textId="77777777" w:rsidR="00397D43" w:rsidRDefault="00000000">
            <w:pPr>
              <w:spacing w:after="40"/>
            </w:pPr>
            <w:r>
              <w:t>AI actor</w:t>
            </w:r>
          </w:p>
        </w:tc>
        <w:tc>
          <w:tcPr>
            <w:tcW w:w="6880" w:type="dxa"/>
            <w:tcMar>
              <w:top w:w="60" w:type="dxa"/>
              <w:left w:w="100" w:type="dxa"/>
              <w:bottom w:w="60" w:type="dxa"/>
              <w:right w:w="100" w:type="dxa"/>
            </w:tcMar>
          </w:tcPr>
          <w:p w14:paraId="5CEA8EC2" w14:textId="77777777" w:rsidR="00397D43" w:rsidRDefault="00000000">
            <w:pPr>
              <w:spacing w:after="40"/>
            </w:pPr>
            <w:r>
              <w:t>Any person or organization with an active role anywhere in the AI lifecycle: designers, developers, deployers, operators, end users, evaluators, and the affected communities that inform them.</w:t>
            </w:r>
          </w:p>
        </w:tc>
      </w:tr>
      <w:tr w:rsidR="00397D43" w14:paraId="64B29A89" w14:textId="77777777">
        <w:tblPrEx>
          <w:tblCellMar>
            <w:top w:w="0" w:type="dxa"/>
            <w:bottom w:w="0" w:type="dxa"/>
          </w:tblCellMar>
        </w:tblPrEx>
        <w:tc>
          <w:tcPr>
            <w:tcW w:w="3200" w:type="dxa"/>
            <w:tcMar>
              <w:top w:w="60" w:type="dxa"/>
              <w:left w:w="100" w:type="dxa"/>
              <w:bottom w:w="60" w:type="dxa"/>
              <w:right w:w="100" w:type="dxa"/>
            </w:tcMar>
          </w:tcPr>
          <w:p w14:paraId="43FC27DB" w14:textId="77777777" w:rsidR="00397D43" w:rsidRDefault="00000000">
            <w:pPr>
              <w:spacing w:after="40"/>
            </w:pPr>
            <w:r>
              <w:t>Risk management</w:t>
            </w:r>
          </w:p>
        </w:tc>
        <w:tc>
          <w:tcPr>
            <w:tcW w:w="6880" w:type="dxa"/>
            <w:tcMar>
              <w:top w:w="60" w:type="dxa"/>
              <w:left w:w="100" w:type="dxa"/>
              <w:bottom w:w="60" w:type="dxa"/>
              <w:right w:w="100" w:type="dxa"/>
            </w:tcMar>
          </w:tcPr>
          <w:p w14:paraId="3B91D559" w14:textId="77777777" w:rsidR="00397D43" w:rsidRDefault="00000000">
            <w:pPr>
              <w:spacing w:after="40"/>
            </w:pPr>
            <w:r>
              <w:t>Coordinated activities to direct an organization about risk: identify what can go wrong (and right), estimate likelihood and magnitude, then prioritize, treat, document, and monitor.</w:t>
            </w:r>
          </w:p>
        </w:tc>
      </w:tr>
      <w:tr w:rsidR="00397D43" w14:paraId="229B9ACF" w14:textId="77777777">
        <w:tblPrEx>
          <w:tblCellMar>
            <w:top w:w="0" w:type="dxa"/>
            <w:bottom w:w="0" w:type="dxa"/>
          </w:tblCellMar>
        </w:tblPrEx>
        <w:tc>
          <w:tcPr>
            <w:tcW w:w="3200" w:type="dxa"/>
            <w:tcMar>
              <w:top w:w="60" w:type="dxa"/>
              <w:left w:w="100" w:type="dxa"/>
              <w:bottom w:w="60" w:type="dxa"/>
              <w:right w:w="100" w:type="dxa"/>
            </w:tcMar>
          </w:tcPr>
          <w:p w14:paraId="32DF667E" w14:textId="77777777" w:rsidR="00397D43" w:rsidRDefault="00000000">
            <w:pPr>
              <w:spacing w:after="40"/>
            </w:pPr>
            <w:r>
              <w:t>Principles-based governance</w:t>
            </w:r>
          </w:p>
        </w:tc>
        <w:tc>
          <w:tcPr>
            <w:tcW w:w="6880" w:type="dxa"/>
            <w:tcMar>
              <w:top w:w="60" w:type="dxa"/>
              <w:left w:w="100" w:type="dxa"/>
              <w:bottom w:w="60" w:type="dxa"/>
              <w:right w:w="100" w:type="dxa"/>
            </w:tcMar>
          </w:tcPr>
          <w:p w14:paraId="3F6BB8C1" w14:textId="77777777" w:rsidR="00397D43" w:rsidRDefault="00000000">
            <w:pPr>
              <w:spacing w:after="40"/>
            </w:pPr>
            <w:r>
              <w:t>Governance that specifies outcomes and characteristics but not the means, leaving each organization to decide how to comply — flexible across contexts, but hard to audit or enforce.</w:t>
            </w:r>
          </w:p>
        </w:tc>
      </w:tr>
    </w:tbl>
    <w:p w14:paraId="468EB0BE" w14:textId="77777777" w:rsidR="006D6CC9" w:rsidRDefault="006D6CC9"/>
    <w:sectPr w:rsidR="006D6CC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B5EE0"/>
    <w:multiLevelType w:val="hybridMultilevel"/>
    <w:tmpl w:val="2D1E663C"/>
    <w:lvl w:ilvl="0" w:tplc="A10CDC00">
      <w:start w:val="1"/>
      <w:numFmt w:val="bullet"/>
      <w:lvlText w:val="●"/>
      <w:lvlJc w:val="left"/>
      <w:pPr>
        <w:ind w:left="720" w:hanging="360"/>
      </w:pPr>
    </w:lvl>
    <w:lvl w:ilvl="1" w:tplc="65EEBB8E">
      <w:start w:val="1"/>
      <w:numFmt w:val="bullet"/>
      <w:lvlText w:val="○"/>
      <w:lvlJc w:val="left"/>
      <w:pPr>
        <w:ind w:left="1440" w:hanging="360"/>
      </w:pPr>
    </w:lvl>
    <w:lvl w:ilvl="2" w:tplc="E5AC8710">
      <w:start w:val="1"/>
      <w:numFmt w:val="bullet"/>
      <w:lvlText w:val="■"/>
      <w:lvlJc w:val="left"/>
      <w:pPr>
        <w:ind w:left="2160" w:hanging="360"/>
      </w:pPr>
    </w:lvl>
    <w:lvl w:ilvl="3" w:tplc="F0AC966A">
      <w:start w:val="1"/>
      <w:numFmt w:val="bullet"/>
      <w:lvlText w:val="●"/>
      <w:lvlJc w:val="left"/>
      <w:pPr>
        <w:ind w:left="2880" w:hanging="360"/>
      </w:pPr>
    </w:lvl>
    <w:lvl w:ilvl="4" w:tplc="D89C6892">
      <w:start w:val="1"/>
      <w:numFmt w:val="bullet"/>
      <w:lvlText w:val="○"/>
      <w:lvlJc w:val="left"/>
      <w:pPr>
        <w:ind w:left="3600" w:hanging="360"/>
      </w:pPr>
    </w:lvl>
    <w:lvl w:ilvl="5" w:tplc="22FC835E">
      <w:start w:val="1"/>
      <w:numFmt w:val="bullet"/>
      <w:lvlText w:val="■"/>
      <w:lvlJc w:val="left"/>
      <w:pPr>
        <w:ind w:left="4320" w:hanging="360"/>
      </w:pPr>
    </w:lvl>
    <w:lvl w:ilvl="6" w:tplc="2FA8CD8E">
      <w:start w:val="1"/>
      <w:numFmt w:val="bullet"/>
      <w:lvlText w:val="●"/>
      <w:lvlJc w:val="left"/>
      <w:pPr>
        <w:ind w:left="5040" w:hanging="360"/>
      </w:pPr>
    </w:lvl>
    <w:lvl w:ilvl="7" w:tplc="4FD4021E">
      <w:start w:val="1"/>
      <w:numFmt w:val="bullet"/>
      <w:lvlText w:val="●"/>
      <w:lvlJc w:val="left"/>
      <w:pPr>
        <w:ind w:left="5760" w:hanging="360"/>
      </w:pPr>
    </w:lvl>
    <w:lvl w:ilvl="8" w:tplc="9E4E87AA">
      <w:start w:val="1"/>
      <w:numFmt w:val="bullet"/>
      <w:lvlText w:val="●"/>
      <w:lvlJc w:val="left"/>
      <w:pPr>
        <w:ind w:left="6480" w:hanging="360"/>
      </w:pPr>
    </w:lvl>
  </w:abstractNum>
  <w:abstractNum w:abstractNumId="1" w15:restartNumberingAfterBreak="0">
    <w:nsid w:val="65A9556B"/>
    <w:multiLevelType w:val="hybridMultilevel"/>
    <w:tmpl w:val="46A0B4B8"/>
    <w:lvl w:ilvl="0" w:tplc="82580D7C">
      <w:start w:val="1"/>
      <w:numFmt w:val="bullet"/>
      <w:lvlText w:val="•"/>
      <w:lvlJc w:val="left"/>
      <w:pPr>
        <w:ind w:left="360" w:hanging="240"/>
      </w:pPr>
    </w:lvl>
    <w:lvl w:ilvl="1" w:tplc="9AE8457C">
      <w:numFmt w:val="decimal"/>
      <w:lvlText w:val=""/>
      <w:lvlJc w:val="left"/>
    </w:lvl>
    <w:lvl w:ilvl="2" w:tplc="0520D996">
      <w:numFmt w:val="decimal"/>
      <w:lvlText w:val=""/>
      <w:lvlJc w:val="left"/>
    </w:lvl>
    <w:lvl w:ilvl="3" w:tplc="DAFA49CC">
      <w:numFmt w:val="decimal"/>
      <w:lvlText w:val=""/>
      <w:lvlJc w:val="left"/>
    </w:lvl>
    <w:lvl w:ilvl="4" w:tplc="A5183472">
      <w:numFmt w:val="decimal"/>
      <w:lvlText w:val=""/>
      <w:lvlJc w:val="left"/>
    </w:lvl>
    <w:lvl w:ilvl="5" w:tplc="4412F25A">
      <w:numFmt w:val="decimal"/>
      <w:lvlText w:val=""/>
      <w:lvlJc w:val="left"/>
    </w:lvl>
    <w:lvl w:ilvl="6" w:tplc="03AC4F58">
      <w:numFmt w:val="decimal"/>
      <w:lvlText w:val=""/>
      <w:lvlJc w:val="left"/>
    </w:lvl>
    <w:lvl w:ilvl="7" w:tplc="5B3C8E8E">
      <w:numFmt w:val="decimal"/>
      <w:lvlText w:val=""/>
      <w:lvlJc w:val="left"/>
    </w:lvl>
    <w:lvl w:ilvl="8" w:tplc="6D8C377E">
      <w:numFmt w:val="decimal"/>
      <w:lvlText w:val=""/>
      <w:lvlJc w:val="left"/>
    </w:lvl>
  </w:abstractNum>
  <w:num w:numId="1" w16cid:durableId="901791940">
    <w:abstractNumId w:val="0"/>
    <w:lvlOverride w:ilvl="0">
      <w:startOverride w:val="1"/>
    </w:lvlOverride>
  </w:num>
  <w:num w:numId="2" w16cid:durableId="12320779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D43"/>
    <w:rsid w:val="00397D43"/>
    <w:rsid w:val="006D6CC9"/>
    <w:rsid w:val="00AA1CC3"/>
    <w:rsid w:val="00D20C9C"/>
    <w:rsid w:val="00EB0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592"/>
  <w15:docId w15:val="{24191ED6-B813-4D68-8A77-F3B1BAB84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676</Words>
  <Characters>3857</Characters>
  <Application>Microsoft Office Word</Application>
  <DocSecurity>0</DocSecurity>
  <Lines>32</Lines>
  <Paragraphs>9</Paragraphs>
  <ScaleCrop>false</ScaleCrop>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Rathke, Samuel - (srathke)</cp:lastModifiedBy>
  <cp:revision>3</cp:revision>
  <dcterms:created xsi:type="dcterms:W3CDTF">2026-07-10T17:18:00Z</dcterms:created>
  <dcterms:modified xsi:type="dcterms:W3CDTF">2026-07-10T17:41:00Z</dcterms:modified>
</cp:coreProperties>
</file>