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92F8" w14:textId="77777777" w:rsidR="008101EA" w:rsidRDefault="00000000">
      <w:pPr>
        <w:spacing w:after="240"/>
      </w:pPr>
      <w:r>
        <w:rPr>
          <w:b/>
          <w:bCs/>
          <w:sz w:val="28"/>
          <w:szCs w:val="28"/>
        </w:rPr>
        <w:t>Reading 2 (completed): UNESCO Recommendation on the Ethics of Artificial Intelligence</w:t>
      </w:r>
    </w:p>
    <w:p w14:paraId="2AAC8687" w14:textId="77777777" w:rsidR="008101EA" w:rsidRDefault="00000000">
      <w:pPr>
        <w:spacing w:before="240" w:after="120"/>
      </w:pPr>
      <w:r>
        <w:rPr>
          <w:b/>
          <w:bCs/>
          <w:sz w:val="24"/>
          <w:szCs w:val="24"/>
        </w:rPr>
        <w:t>What to look for as you read:</w:t>
      </w:r>
    </w:p>
    <w:p w14:paraId="37B1C249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t>The core values UNESCO identifies — which align with, and which extend beyond, NIST’s trustworthiness properties?</w:t>
      </w:r>
    </w:p>
    <w:p w14:paraId="397741D0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t>UNESCO names four values (human rights and dignity; environment and ecosystem flourishing; diversity and inclusiveness; peaceful, just, interconnected societies) unpacked by ten principles (¶¶9–47). Privacy, transparency, and accountability align with NIST; environment, equity, AI literacy, and multi-stakeholder participation extend beyond.</w:t>
      </w:r>
    </w:p>
    <w:p w14:paraId="2F24937E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t>The ‘right to privacy’ as a precondition for other rights — how does this differ from privacy as one property among several?</w:t>
      </w:r>
    </w:p>
    <w:p w14:paraId="293B14D4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t>UNESCO calls privacy “a right essential to the protection of human dignity, human autonomy and human agency” (¶32) — a foundation other rights stand on, not one attribute to trade off. That demands lawful basis, consent, and protection across the whole data lifecycle (¶¶32–34).</w:t>
      </w:r>
    </w:p>
    <w:p w14:paraId="5A9ACA80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‘Multi-stakeholder </w:t>
      </w:r>
      <w:proofErr w:type="gramStart"/>
      <w:r>
        <w:t>participation’ —</w:t>
      </w:r>
      <w:proofErr w:type="gramEnd"/>
      <w:r>
        <w:t xml:space="preserve"> what does it imply for university AI governance structures?</w:t>
      </w:r>
    </w:p>
    <w:p w14:paraId="7F578742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t>¶47 requires participation of governments, civil society, researchers, marginalized groups, and youth “throughout the AI system life cycle.” For a university: students and front-line staff belong on AI governance bodies with real votes — affected groups help set the rules, not merely receive them.</w:t>
      </w:r>
    </w:p>
    <w:p w14:paraId="5BECEB5B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t>The equity and environmental justice dimensions — are these addressed in our institution’s current AI guidance?</w:t>
      </w:r>
    </w:p>
    <w:p w14:paraId="2B0DEFFB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t>UNESCO requires reducing AI’s environmental impact “including but not limited to its carbon footprint” (¶18) and making benefits “available and accessible to all” (¶28). U of A guidance addresses neither compute footprint nor benefit equity; the closest gesture is free university-provided AI tools.</w:t>
      </w:r>
    </w:p>
    <w:p w14:paraId="50BC3591" w14:textId="77777777" w:rsidR="008101EA" w:rsidRDefault="00000000">
      <w:pPr>
        <w:spacing w:before="240" w:after="120"/>
      </w:pPr>
      <w:r>
        <w:rPr>
          <w:b/>
          <w:bCs/>
          <w:sz w:val="24"/>
          <w:szCs w:val="24"/>
        </w:rPr>
        <w:t>Guided reading questions:</w:t>
      </w:r>
    </w:p>
    <w:p w14:paraId="5F5FDD28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Q1: </w:t>
      </w:r>
      <w:r>
        <w:t>Legally non-binding but adopted unanimously by 193 states — what does this imply for its authority relative to the EU AI Act and the NIST AI RMF?</w:t>
      </w:r>
    </w:p>
    <w:p w14:paraId="7BB42D6E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rPr>
          <w:b/>
          <w:bCs/>
        </w:rPr>
        <w:t xml:space="preserve">Answer: </w:t>
      </w:r>
      <w:r>
        <w:t>Unanimous adoption gives UNESCO the widest legitimacy and weakest teeth: soft law that sets a global floor without enforcement. The EU AI Act binds with penalties only in its jurisdiction; NIST is voluntary. Authority and enforceability run in opposite directions.</w:t>
      </w:r>
    </w:p>
    <w:p w14:paraId="4A3FD65D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Q2: </w:t>
      </w:r>
      <w:r>
        <w:t>How does the rights-based framing change the governance questions a university must ask before deploying AI in student advising?</w:t>
      </w:r>
    </w:p>
    <w:p w14:paraId="0E0F7BF0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rPr>
          <w:b/>
          <w:bCs/>
        </w:rPr>
        <w:t xml:space="preserve">Answer: </w:t>
      </w:r>
      <w:r>
        <w:t>The first questions become rights questions, not failure-rate questions: lawful basis and consent for advising data; students told when AI informs their record, with explanation and human review (¶38); discrimination precluded (¶¶28–29); a human keeping final determination (¶¶35–36).</w:t>
      </w:r>
    </w:p>
    <w:p w14:paraId="03126AFA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Q3: </w:t>
      </w:r>
      <w:r>
        <w:t xml:space="preserve">Compare UNESCO’s values with NIST’s trustworthiness properties — what does each address that the other does </w:t>
      </w:r>
      <w:proofErr w:type="gramStart"/>
      <w:r>
        <w:t>not</w:t>
      </w:r>
      <w:proofErr w:type="gramEnd"/>
      <w:r>
        <w:t>?</w:t>
      </w:r>
    </w:p>
    <w:p w14:paraId="749EA28D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rPr>
          <w:b/>
          <w:bCs/>
        </w:rPr>
        <w:t xml:space="preserve">Answer: </w:t>
      </w:r>
      <w:r>
        <w:t>UNESCO adds what NIST lacks: environment, global equity, gender, culture, AI literacy, multi-stakeholder participation, explicit human determination. NIST specifies what UNESCO only implies: validity and reliability metrics, TEVV processes, security engineering, risk tolerance, documented organizational functions.</w:t>
      </w:r>
    </w:p>
    <w:p w14:paraId="04CF021A" w14:textId="77777777" w:rsidR="008101E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Q4: </w:t>
      </w:r>
      <w:r>
        <w:t xml:space="preserve">What does ‘meaningful’ human oversight require in a university context — what mechanisms make oversight more than </w:t>
      </w:r>
      <w:proofErr w:type="gramStart"/>
      <w:r>
        <w:t>a formality</w:t>
      </w:r>
      <w:proofErr w:type="gramEnd"/>
      <w:r>
        <w:t>?</w:t>
      </w:r>
    </w:p>
    <w:p w14:paraId="149041D7" w14:textId="77777777" w:rsidR="008101EA" w:rsidRDefault="00000000">
      <w:pPr>
        <w:pBdr>
          <w:left w:val="single" w:sz="12" w:space="12" w:color="BFBFBF"/>
        </w:pBdr>
        <w:spacing w:after="160"/>
        <w:ind w:left="720"/>
      </w:pPr>
      <w:r>
        <w:rPr>
          <w:b/>
          <w:bCs/>
        </w:rPr>
        <w:t xml:space="preserve">Answer: </w:t>
      </w:r>
      <w:r>
        <w:t>A named human with authority, competence, and time to override; documented sign-off before consequential outputs take effect; audit trails with independent review; a student-facing appeal path; the standing ability to shut the system off. Responsibility never transfers to the system (¶¶35–36).</w:t>
      </w:r>
    </w:p>
    <w:p w14:paraId="7D3A96E4" w14:textId="77777777" w:rsidR="008101EA" w:rsidRDefault="00000000">
      <w:pPr>
        <w:spacing w:before="240" w:after="120"/>
      </w:pPr>
      <w:r>
        <w:rPr>
          <w:b/>
          <w:bCs/>
          <w:sz w:val="24"/>
          <w:szCs w:val="24"/>
        </w:rPr>
        <w:t>Key terms — my own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101EA" w14:paraId="07C80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9519" w14:textId="77777777" w:rsidR="008101EA" w:rsidRDefault="00000000">
            <w:r>
              <w:rPr>
                <w:b/>
                <w:bCs/>
              </w:rPr>
              <w:t>Term</w:t>
            </w:r>
          </w:p>
        </w:tc>
        <w:tc>
          <w:tcPr>
            <w:tcW w:w="688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CC0D" w14:textId="77777777" w:rsidR="008101EA" w:rsidRDefault="00000000">
            <w:r>
              <w:rPr>
                <w:b/>
                <w:bCs/>
              </w:rPr>
              <w:t>My definition (in my own words)</w:t>
            </w:r>
          </w:p>
        </w:tc>
      </w:tr>
      <w:tr w:rsidR="008101EA" w14:paraId="0208A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DCB7" w14:textId="77777777" w:rsidR="008101EA" w:rsidRDefault="00000000">
            <w:pPr>
              <w:spacing w:after="40"/>
            </w:pPr>
            <w:r>
              <w:t>Multi-stakeholder governance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0E47" w14:textId="77777777" w:rsidR="008101EA" w:rsidRDefault="00000000">
            <w:pPr>
              <w:spacing w:after="40"/>
            </w:pPr>
            <w:r>
              <w:t>Everyone the system touches — students, staff, civil society, marginalized communities, youth — participates across the AI lifecycle, with mechanisms that adapt as new stakeholder groups emerge (¶47).</w:t>
            </w:r>
          </w:p>
        </w:tc>
      </w:tr>
      <w:tr w:rsidR="008101EA" w14:paraId="0A463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A3ED" w14:textId="77777777" w:rsidR="008101EA" w:rsidRDefault="00000000">
            <w:pPr>
              <w:spacing w:after="40"/>
            </w:pPr>
            <w:r>
              <w:t>Human rights-based AI governance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758B" w14:textId="77777777" w:rsidR="008101EA" w:rsidRDefault="00000000">
            <w:pPr>
              <w:spacing w:after="40"/>
            </w:pPr>
            <w:r>
              <w:t>Legitimacy is judged first against dignity and rights obligations; rights act as constraints on deployment, not values to be traded against efficiency (¶¶13–16).</w:t>
            </w:r>
          </w:p>
        </w:tc>
      </w:tr>
      <w:tr w:rsidR="008101EA" w14:paraId="420A2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D56C" w14:textId="77777777" w:rsidR="008101EA" w:rsidRDefault="00000000">
            <w:pPr>
              <w:spacing w:after="40"/>
            </w:pPr>
            <w:r>
              <w:t>Right to privacy (UNESCO framing)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5BC3" w14:textId="77777777" w:rsidR="008101EA" w:rsidRDefault="00000000">
            <w:pPr>
              <w:spacing w:after="40"/>
            </w:pPr>
            <w:r>
              <w:t>A precondition of dignity, autonomy, and agency, protected from data collection through deletion — not one trustworthiness attribute among several (¶32).</w:t>
            </w:r>
          </w:p>
        </w:tc>
      </w:tr>
      <w:tr w:rsidR="008101EA" w14:paraId="1368D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DBAE" w14:textId="77777777" w:rsidR="008101EA" w:rsidRDefault="00000000">
            <w:pPr>
              <w:spacing w:after="40"/>
            </w:pPr>
            <w:r>
              <w:t>Meaningful human oversight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4F3E" w14:textId="77777777" w:rsidR="008101EA" w:rsidRDefault="00000000">
            <w:pPr>
              <w:spacing w:after="40"/>
            </w:pPr>
            <w:r>
              <w:t>Humans keep real capacity and authority to understand, override, and answer for AI outcomes; even ceding control is a human decision, and ultimate responsibility never transfers to the system (¶¶35–36).</w:t>
            </w:r>
          </w:p>
        </w:tc>
      </w:tr>
      <w:tr w:rsidR="008101EA" w14:paraId="1577B9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3177" w14:textId="77777777" w:rsidR="008101EA" w:rsidRDefault="00000000">
            <w:pPr>
              <w:spacing w:after="40"/>
            </w:pPr>
            <w:r>
              <w:t>Equity in AI benefit distribution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769A" w14:textId="77777777" w:rsidR="008101EA" w:rsidRDefault="00000000">
            <w:pPr>
              <w:spacing w:after="40"/>
            </w:pPr>
            <w:r>
              <w:t>AI’s benefits and harms shared fairly within and between institutions and nations — closing digital divides rather than letting benefits pool where wealth already is (¶¶28–30).</w:t>
            </w:r>
          </w:p>
        </w:tc>
      </w:tr>
    </w:tbl>
    <w:p w14:paraId="2D1A0EFD" w14:textId="77777777" w:rsidR="00BD47CD" w:rsidRDefault="00BD47CD"/>
    <w:sectPr w:rsidR="00BD47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1798"/>
    <w:multiLevelType w:val="hybridMultilevel"/>
    <w:tmpl w:val="D1C295BC"/>
    <w:lvl w:ilvl="0" w:tplc="DCC87508">
      <w:start w:val="1"/>
      <w:numFmt w:val="bullet"/>
      <w:lvlText w:val="●"/>
      <w:lvlJc w:val="left"/>
      <w:pPr>
        <w:ind w:left="720" w:hanging="360"/>
      </w:pPr>
    </w:lvl>
    <w:lvl w:ilvl="1" w:tplc="2138B3D2">
      <w:start w:val="1"/>
      <w:numFmt w:val="bullet"/>
      <w:lvlText w:val="○"/>
      <w:lvlJc w:val="left"/>
      <w:pPr>
        <w:ind w:left="1440" w:hanging="360"/>
      </w:pPr>
    </w:lvl>
    <w:lvl w:ilvl="2" w:tplc="1E261FB4">
      <w:start w:val="1"/>
      <w:numFmt w:val="bullet"/>
      <w:lvlText w:val="■"/>
      <w:lvlJc w:val="left"/>
      <w:pPr>
        <w:ind w:left="2160" w:hanging="360"/>
      </w:pPr>
    </w:lvl>
    <w:lvl w:ilvl="3" w:tplc="A47A478A">
      <w:start w:val="1"/>
      <w:numFmt w:val="bullet"/>
      <w:lvlText w:val="●"/>
      <w:lvlJc w:val="left"/>
      <w:pPr>
        <w:ind w:left="2880" w:hanging="360"/>
      </w:pPr>
    </w:lvl>
    <w:lvl w:ilvl="4" w:tplc="FBEEA6B6">
      <w:start w:val="1"/>
      <w:numFmt w:val="bullet"/>
      <w:lvlText w:val="○"/>
      <w:lvlJc w:val="left"/>
      <w:pPr>
        <w:ind w:left="3600" w:hanging="360"/>
      </w:pPr>
    </w:lvl>
    <w:lvl w:ilvl="5" w:tplc="331039C6">
      <w:start w:val="1"/>
      <w:numFmt w:val="bullet"/>
      <w:lvlText w:val="■"/>
      <w:lvlJc w:val="left"/>
      <w:pPr>
        <w:ind w:left="4320" w:hanging="360"/>
      </w:pPr>
    </w:lvl>
    <w:lvl w:ilvl="6" w:tplc="A98C0D90">
      <w:start w:val="1"/>
      <w:numFmt w:val="bullet"/>
      <w:lvlText w:val="●"/>
      <w:lvlJc w:val="left"/>
      <w:pPr>
        <w:ind w:left="5040" w:hanging="360"/>
      </w:pPr>
    </w:lvl>
    <w:lvl w:ilvl="7" w:tplc="88489784">
      <w:start w:val="1"/>
      <w:numFmt w:val="bullet"/>
      <w:lvlText w:val="●"/>
      <w:lvlJc w:val="left"/>
      <w:pPr>
        <w:ind w:left="5760" w:hanging="360"/>
      </w:pPr>
    </w:lvl>
    <w:lvl w:ilvl="8" w:tplc="12F24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2432D"/>
    <w:multiLevelType w:val="hybridMultilevel"/>
    <w:tmpl w:val="D48CAFD6"/>
    <w:lvl w:ilvl="0" w:tplc="27B81E74">
      <w:start w:val="1"/>
      <w:numFmt w:val="bullet"/>
      <w:lvlText w:val="•"/>
      <w:lvlJc w:val="left"/>
      <w:pPr>
        <w:ind w:left="360" w:hanging="240"/>
      </w:pPr>
    </w:lvl>
    <w:lvl w:ilvl="1" w:tplc="D39811D0">
      <w:numFmt w:val="decimal"/>
      <w:lvlText w:val=""/>
      <w:lvlJc w:val="left"/>
    </w:lvl>
    <w:lvl w:ilvl="2" w:tplc="C098204E">
      <w:numFmt w:val="decimal"/>
      <w:lvlText w:val=""/>
      <w:lvlJc w:val="left"/>
    </w:lvl>
    <w:lvl w:ilvl="3" w:tplc="9D74F658">
      <w:numFmt w:val="decimal"/>
      <w:lvlText w:val=""/>
      <w:lvlJc w:val="left"/>
    </w:lvl>
    <w:lvl w:ilvl="4" w:tplc="30B63B00">
      <w:numFmt w:val="decimal"/>
      <w:lvlText w:val=""/>
      <w:lvlJc w:val="left"/>
    </w:lvl>
    <w:lvl w:ilvl="5" w:tplc="C3C88AEC">
      <w:numFmt w:val="decimal"/>
      <w:lvlText w:val=""/>
      <w:lvlJc w:val="left"/>
    </w:lvl>
    <w:lvl w:ilvl="6" w:tplc="0336A0B6">
      <w:numFmt w:val="decimal"/>
      <w:lvlText w:val=""/>
      <w:lvlJc w:val="left"/>
    </w:lvl>
    <w:lvl w:ilvl="7" w:tplc="F2F4FCF6">
      <w:numFmt w:val="decimal"/>
      <w:lvlText w:val=""/>
      <w:lvlJc w:val="left"/>
    </w:lvl>
    <w:lvl w:ilvl="8" w:tplc="2AF098B8">
      <w:numFmt w:val="decimal"/>
      <w:lvlText w:val=""/>
      <w:lvlJc w:val="left"/>
    </w:lvl>
  </w:abstractNum>
  <w:num w:numId="1" w16cid:durableId="213204768">
    <w:abstractNumId w:val="0"/>
    <w:lvlOverride w:ilvl="0">
      <w:startOverride w:val="1"/>
    </w:lvlOverride>
  </w:num>
  <w:num w:numId="2" w16cid:durableId="451441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EA"/>
    <w:rsid w:val="008101EA"/>
    <w:rsid w:val="00B74569"/>
    <w:rsid w:val="00BD47CD"/>
    <w:rsid w:val="00E2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FABA"/>
  <w15:docId w15:val="{A32DCF2A-F9C9-4967-919A-EE252904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Rathke, Samuel - (srathke)</cp:lastModifiedBy>
  <cp:revision>2</cp:revision>
  <dcterms:created xsi:type="dcterms:W3CDTF">2026-07-10T17:18:00Z</dcterms:created>
  <dcterms:modified xsi:type="dcterms:W3CDTF">2026-07-10T17:42:00Z</dcterms:modified>
</cp:coreProperties>
</file>