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C7FA" w14:textId="77777777" w:rsidR="003F2C08" w:rsidRDefault="00000000">
      <w:pPr>
        <w:spacing w:after="240"/>
      </w:pPr>
      <w:r>
        <w:rPr>
          <w:b/>
          <w:bCs/>
          <w:sz w:val="28"/>
          <w:szCs w:val="28"/>
        </w:rPr>
        <w:t>Task 1: Comparative Policy Analysis — Three Peer Institution Policies</w:t>
      </w:r>
    </w:p>
    <w:p w14:paraId="4C839285" w14:textId="66DBD037" w:rsidR="003F2C08" w:rsidRDefault="00C05E2E">
      <w:pPr>
        <w:spacing w:after="120"/>
      </w:pPr>
      <w:r>
        <w:rPr>
          <w:b/>
          <w:bCs/>
        </w:rPr>
        <w:t>N</w:t>
      </w:r>
      <w:r w:rsidR="00000000">
        <w:rPr>
          <w:b/>
          <w:bCs/>
        </w:rPr>
        <w:t xml:space="preserve">ote: </w:t>
      </w:r>
      <w:r w:rsidR="00000000">
        <w:t>The course platform policy library was not accessible, so three publicly posted AI policies from public R1 peers of the University of Arizona were used instead (documents fetched and read 10 July 2026; URLs in Sources). Scores follow the six-dimension rubric, 1–5.</w:t>
      </w:r>
    </w:p>
    <w:p w14:paraId="6E98C3D7" w14:textId="77777777" w:rsidR="003F2C08" w:rsidRDefault="00000000">
      <w:pPr>
        <w:spacing w:before="240" w:after="120"/>
      </w:pPr>
      <w:r>
        <w:rPr>
          <w:b/>
          <w:bCs/>
          <w:sz w:val="24"/>
          <w:szCs w:val="24"/>
        </w:rPr>
        <w:t>INSTITUTION A: Arizona State University (public R1, in-state peer) — distributed website guidance (Provost “Teaching and learning with generative AI” + “Digital Trust” guidelines); not an adopted policy; undated.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780"/>
      </w:tblGrid>
      <w:tr w:rsidR="003F2C08" w14:paraId="7CEE93A2" w14:textId="77777777">
        <w:tblPrEx>
          <w:tblCellMar>
            <w:top w:w="0" w:type="dxa"/>
            <w:bottom w:w="0" w:type="dxa"/>
          </w:tblCellMar>
        </w:tblPrEx>
        <w:trPr>
          <w:tblHeader/>
        </w:trPr>
        <w:tc>
          <w:tcPr>
            <w:tcW w:w="2400" w:type="dxa"/>
            <w:shd w:val="clear" w:color="auto" w:fill="E8E8E8"/>
            <w:tcMar>
              <w:top w:w="60" w:type="dxa"/>
              <w:left w:w="100" w:type="dxa"/>
              <w:bottom w:w="60" w:type="dxa"/>
              <w:right w:w="100" w:type="dxa"/>
            </w:tcMar>
          </w:tcPr>
          <w:p w14:paraId="759E12E7" w14:textId="77777777" w:rsidR="003F2C08" w:rsidRDefault="00000000">
            <w:r>
              <w:rPr>
                <w:b/>
                <w:bCs/>
              </w:rPr>
              <w:t>Dimension</w:t>
            </w:r>
          </w:p>
        </w:tc>
        <w:tc>
          <w:tcPr>
            <w:tcW w:w="900" w:type="dxa"/>
            <w:shd w:val="clear" w:color="auto" w:fill="E8E8E8"/>
            <w:tcMar>
              <w:top w:w="60" w:type="dxa"/>
              <w:left w:w="100" w:type="dxa"/>
              <w:bottom w:w="60" w:type="dxa"/>
              <w:right w:w="100" w:type="dxa"/>
            </w:tcMar>
          </w:tcPr>
          <w:p w14:paraId="4C48153D" w14:textId="77777777" w:rsidR="003F2C08" w:rsidRDefault="00000000">
            <w:r>
              <w:rPr>
                <w:b/>
                <w:bCs/>
              </w:rPr>
              <w:t>Score</w:t>
            </w:r>
          </w:p>
        </w:tc>
        <w:tc>
          <w:tcPr>
            <w:tcW w:w="6780" w:type="dxa"/>
            <w:shd w:val="clear" w:color="auto" w:fill="E8E8E8"/>
            <w:tcMar>
              <w:top w:w="60" w:type="dxa"/>
              <w:left w:w="100" w:type="dxa"/>
              <w:bottom w:w="60" w:type="dxa"/>
              <w:right w:w="100" w:type="dxa"/>
            </w:tcMar>
          </w:tcPr>
          <w:p w14:paraId="04639F9A" w14:textId="77777777" w:rsidR="003F2C08" w:rsidRDefault="00000000">
            <w:r>
              <w:rPr>
                <w:b/>
                <w:bCs/>
              </w:rPr>
              <w:t>Justification (one sentence)</w:t>
            </w:r>
          </w:p>
        </w:tc>
      </w:tr>
      <w:tr w:rsidR="003F2C08" w14:paraId="59D2A925" w14:textId="77777777">
        <w:tblPrEx>
          <w:tblCellMar>
            <w:top w:w="0" w:type="dxa"/>
            <w:bottom w:w="0" w:type="dxa"/>
          </w:tblCellMar>
        </w:tblPrEx>
        <w:tc>
          <w:tcPr>
            <w:tcW w:w="2400" w:type="dxa"/>
            <w:tcMar>
              <w:top w:w="60" w:type="dxa"/>
              <w:left w:w="100" w:type="dxa"/>
              <w:bottom w:w="60" w:type="dxa"/>
              <w:right w:w="100" w:type="dxa"/>
            </w:tcMar>
          </w:tcPr>
          <w:p w14:paraId="67A2B2FF" w14:textId="77777777" w:rsidR="003F2C08" w:rsidRDefault="00000000">
            <w:pPr>
              <w:spacing w:after="40"/>
            </w:pPr>
            <w:r>
              <w:t>1 — SCOPE</w:t>
            </w:r>
          </w:p>
        </w:tc>
        <w:tc>
          <w:tcPr>
            <w:tcW w:w="900" w:type="dxa"/>
            <w:tcMar>
              <w:top w:w="60" w:type="dxa"/>
              <w:left w:w="100" w:type="dxa"/>
              <w:bottom w:w="60" w:type="dxa"/>
              <w:right w:w="100" w:type="dxa"/>
            </w:tcMar>
          </w:tcPr>
          <w:p w14:paraId="67B9D84C" w14:textId="77777777" w:rsidR="003F2C08" w:rsidRDefault="00000000">
            <w:pPr>
              <w:spacing w:after="40"/>
            </w:pPr>
            <w:r>
              <w:t>2</w:t>
            </w:r>
          </w:p>
        </w:tc>
        <w:tc>
          <w:tcPr>
            <w:tcW w:w="6780" w:type="dxa"/>
            <w:tcMar>
              <w:top w:w="60" w:type="dxa"/>
              <w:left w:w="100" w:type="dxa"/>
              <w:bottom w:w="60" w:type="dxa"/>
              <w:right w:w="100" w:type="dxa"/>
            </w:tcMar>
          </w:tcPr>
          <w:p w14:paraId="5FABB885" w14:textId="77777777" w:rsidR="003F2C08" w:rsidRDefault="00000000">
            <w:pPr>
              <w:spacing w:after="40"/>
            </w:pPr>
            <w:r>
              <w:t>Students, faculty, and staff are addressed only implicitly through page sections; there is no applicability clause, no mention of contractors, and no statement that compliance is mandatory for anyone.</w:t>
            </w:r>
          </w:p>
        </w:tc>
      </w:tr>
      <w:tr w:rsidR="003F2C08" w14:paraId="281E32A3" w14:textId="77777777">
        <w:tblPrEx>
          <w:tblCellMar>
            <w:top w:w="0" w:type="dxa"/>
            <w:bottom w:w="0" w:type="dxa"/>
          </w:tblCellMar>
        </w:tblPrEx>
        <w:tc>
          <w:tcPr>
            <w:tcW w:w="2400" w:type="dxa"/>
            <w:tcMar>
              <w:top w:w="60" w:type="dxa"/>
              <w:left w:w="100" w:type="dxa"/>
              <w:bottom w:w="60" w:type="dxa"/>
              <w:right w:w="100" w:type="dxa"/>
            </w:tcMar>
          </w:tcPr>
          <w:p w14:paraId="01AFE0B0" w14:textId="77777777" w:rsidR="003F2C08" w:rsidRDefault="00000000">
            <w:pPr>
              <w:spacing w:after="40"/>
            </w:pPr>
            <w:r>
              <w:t>2 — CLARITY</w:t>
            </w:r>
          </w:p>
        </w:tc>
        <w:tc>
          <w:tcPr>
            <w:tcW w:w="900" w:type="dxa"/>
            <w:tcMar>
              <w:top w:w="60" w:type="dxa"/>
              <w:left w:w="100" w:type="dxa"/>
              <w:bottom w:w="60" w:type="dxa"/>
              <w:right w:w="100" w:type="dxa"/>
            </w:tcMar>
          </w:tcPr>
          <w:p w14:paraId="534B7729" w14:textId="77777777" w:rsidR="003F2C08" w:rsidRDefault="00000000">
            <w:pPr>
              <w:spacing w:after="40"/>
            </w:pPr>
            <w:r>
              <w:t>3</w:t>
            </w:r>
          </w:p>
        </w:tc>
        <w:tc>
          <w:tcPr>
            <w:tcW w:w="6780" w:type="dxa"/>
            <w:tcMar>
              <w:top w:w="60" w:type="dxa"/>
              <w:left w:w="100" w:type="dxa"/>
              <w:bottom w:w="60" w:type="dxa"/>
              <w:right w:w="100" w:type="dxa"/>
            </w:tcMar>
          </w:tcPr>
          <w:p w14:paraId="112734B8" w14:textId="77777777" w:rsidR="003F2C08" w:rsidRDefault="00000000">
            <w:pPr>
              <w:spacing w:after="40"/>
            </w:pPr>
            <w:r>
              <w:t>The Digital Trust rules are decision-usable for data (“Do not share information that is internal, sensitive or highly sensitive”), but all academic permissibility is deferred to individual instructors, so the university documents alone cannot answer a coursework question.</w:t>
            </w:r>
          </w:p>
        </w:tc>
      </w:tr>
      <w:tr w:rsidR="003F2C08" w14:paraId="06F93B9B" w14:textId="77777777">
        <w:tblPrEx>
          <w:tblCellMar>
            <w:top w:w="0" w:type="dxa"/>
            <w:bottom w:w="0" w:type="dxa"/>
          </w:tblCellMar>
        </w:tblPrEx>
        <w:tc>
          <w:tcPr>
            <w:tcW w:w="2400" w:type="dxa"/>
            <w:tcMar>
              <w:top w:w="60" w:type="dxa"/>
              <w:left w:w="100" w:type="dxa"/>
              <w:bottom w:w="60" w:type="dxa"/>
              <w:right w:w="100" w:type="dxa"/>
            </w:tcMar>
          </w:tcPr>
          <w:p w14:paraId="29896F1C" w14:textId="77777777" w:rsidR="003F2C08" w:rsidRDefault="00000000">
            <w:pPr>
              <w:spacing w:after="40"/>
            </w:pPr>
            <w:r>
              <w:t>3 — ENFORCEMENT</w:t>
            </w:r>
          </w:p>
        </w:tc>
        <w:tc>
          <w:tcPr>
            <w:tcW w:w="900" w:type="dxa"/>
            <w:tcMar>
              <w:top w:w="60" w:type="dxa"/>
              <w:left w:w="100" w:type="dxa"/>
              <w:bottom w:w="60" w:type="dxa"/>
              <w:right w:w="100" w:type="dxa"/>
            </w:tcMar>
          </w:tcPr>
          <w:p w14:paraId="18783B1F" w14:textId="77777777" w:rsidR="003F2C08" w:rsidRDefault="00000000">
            <w:pPr>
              <w:spacing w:after="40"/>
            </w:pPr>
            <w:r>
              <w:t>1</w:t>
            </w:r>
          </w:p>
        </w:tc>
        <w:tc>
          <w:tcPr>
            <w:tcW w:w="6780" w:type="dxa"/>
            <w:tcMar>
              <w:top w:w="60" w:type="dxa"/>
              <w:left w:w="100" w:type="dxa"/>
              <w:bottom w:w="60" w:type="dxa"/>
              <w:right w:w="100" w:type="dxa"/>
            </w:tcMar>
          </w:tcPr>
          <w:p w14:paraId="5780E5B5" w14:textId="77777777" w:rsidR="003F2C08" w:rsidRDefault="00000000">
            <w:pPr>
              <w:spacing w:after="40"/>
            </w:pPr>
            <w:r>
              <w:t>No responsible office, reporting process, or consequence is named for AI misuse; enforcement defers to the pre-existing academic integrity apparatus, which the Provost’s Office says it is still “currently reviewing” for generative AI.</w:t>
            </w:r>
          </w:p>
        </w:tc>
      </w:tr>
      <w:tr w:rsidR="003F2C08" w14:paraId="5182358E" w14:textId="77777777">
        <w:tblPrEx>
          <w:tblCellMar>
            <w:top w:w="0" w:type="dxa"/>
            <w:bottom w:w="0" w:type="dxa"/>
          </w:tblCellMar>
        </w:tblPrEx>
        <w:tc>
          <w:tcPr>
            <w:tcW w:w="2400" w:type="dxa"/>
            <w:tcMar>
              <w:top w:w="60" w:type="dxa"/>
              <w:left w:w="100" w:type="dxa"/>
              <w:bottom w:w="60" w:type="dxa"/>
              <w:right w:w="100" w:type="dxa"/>
            </w:tcMar>
          </w:tcPr>
          <w:p w14:paraId="22705D89" w14:textId="77777777" w:rsidR="003F2C08" w:rsidRDefault="00000000">
            <w:pPr>
              <w:spacing w:after="40"/>
            </w:pPr>
            <w:r>
              <w:t>4 — STUDENT PROTECTIONS</w:t>
            </w:r>
          </w:p>
        </w:tc>
        <w:tc>
          <w:tcPr>
            <w:tcW w:w="900" w:type="dxa"/>
            <w:tcMar>
              <w:top w:w="60" w:type="dxa"/>
              <w:left w:w="100" w:type="dxa"/>
              <w:bottom w:w="60" w:type="dxa"/>
              <w:right w:w="100" w:type="dxa"/>
            </w:tcMar>
          </w:tcPr>
          <w:p w14:paraId="4BC11B66" w14:textId="77777777" w:rsidR="003F2C08" w:rsidRDefault="00000000">
            <w:pPr>
              <w:spacing w:after="40"/>
            </w:pPr>
            <w:r>
              <w:t>2</w:t>
            </w:r>
          </w:p>
        </w:tc>
        <w:tc>
          <w:tcPr>
            <w:tcW w:w="6780" w:type="dxa"/>
            <w:tcMar>
              <w:top w:w="60" w:type="dxa"/>
              <w:left w:w="100" w:type="dxa"/>
              <w:bottom w:w="60" w:type="dxa"/>
              <w:right w:w="100" w:type="dxa"/>
            </w:tcMar>
          </w:tcPr>
          <w:p w14:paraId="4A44EE99" w14:textId="77777777" w:rsidR="003F2C08" w:rsidRDefault="00000000">
            <w:pPr>
              <w:spacing w:after="40"/>
            </w:pPr>
            <w:r>
              <w:t>FERPA-compliant contracted tools address data privacy, but the guidance is silent on AI detection, accusation procedures, and any student transparency or appeal rights.</w:t>
            </w:r>
          </w:p>
        </w:tc>
      </w:tr>
      <w:tr w:rsidR="003F2C08" w14:paraId="5DE69220" w14:textId="77777777">
        <w:tblPrEx>
          <w:tblCellMar>
            <w:top w:w="0" w:type="dxa"/>
            <w:bottom w:w="0" w:type="dxa"/>
          </w:tblCellMar>
        </w:tblPrEx>
        <w:tc>
          <w:tcPr>
            <w:tcW w:w="2400" w:type="dxa"/>
            <w:tcMar>
              <w:top w:w="60" w:type="dxa"/>
              <w:left w:w="100" w:type="dxa"/>
              <w:bottom w:w="60" w:type="dxa"/>
              <w:right w:w="100" w:type="dxa"/>
            </w:tcMar>
          </w:tcPr>
          <w:p w14:paraId="0B4D577D" w14:textId="77777777" w:rsidR="003F2C08" w:rsidRDefault="00000000">
            <w:pPr>
              <w:spacing w:after="40"/>
            </w:pPr>
            <w:r>
              <w:t>5 — FACULTY/STAFF RIGHTS</w:t>
            </w:r>
          </w:p>
        </w:tc>
        <w:tc>
          <w:tcPr>
            <w:tcW w:w="900" w:type="dxa"/>
            <w:tcMar>
              <w:top w:w="60" w:type="dxa"/>
              <w:left w:w="100" w:type="dxa"/>
              <w:bottom w:w="60" w:type="dxa"/>
              <w:right w:w="100" w:type="dxa"/>
            </w:tcMar>
          </w:tcPr>
          <w:p w14:paraId="31221427" w14:textId="77777777" w:rsidR="003F2C08" w:rsidRDefault="00000000">
            <w:pPr>
              <w:spacing w:after="40"/>
            </w:pPr>
            <w:r>
              <w:t>3</w:t>
            </w:r>
          </w:p>
        </w:tc>
        <w:tc>
          <w:tcPr>
            <w:tcW w:w="6780" w:type="dxa"/>
            <w:tcMar>
              <w:top w:w="60" w:type="dxa"/>
              <w:left w:w="100" w:type="dxa"/>
              <w:bottom w:w="60" w:type="dxa"/>
              <w:right w:w="100" w:type="dxa"/>
            </w:tcMar>
          </w:tcPr>
          <w:p w14:paraId="036BE96C" w14:textId="30F8582F" w:rsidR="003F2C08" w:rsidRDefault="00000000">
            <w:pPr>
              <w:spacing w:after="40"/>
            </w:pPr>
            <w:r>
              <w:t xml:space="preserve">Instructor authority over class-level AI rules is operative (per-class policies, an explicit refusal to ban AI, syllabus templates), but no academic-freedom guarantee is </w:t>
            </w:r>
            <w:r w:rsidR="00C05E2E">
              <w:t>stated,</w:t>
            </w:r>
            <w:r>
              <w:t xml:space="preserve"> and staff rights go unaddressed.</w:t>
            </w:r>
          </w:p>
        </w:tc>
      </w:tr>
      <w:tr w:rsidR="003F2C08" w14:paraId="053844A7" w14:textId="77777777">
        <w:tblPrEx>
          <w:tblCellMar>
            <w:top w:w="0" w:type="dxa"/>
            <w:bottom w:w="0" w:type="dxa"/>
          </w:tblCellMar>
        </w:tblPrEx>
        <w:tc>
          <w:tcPr>
            <w:tcW w:w="2400" w:type="dxa"/>
            <w:tcMar>
              <w:top w:w="60" w:type="dxa"/>
              <w:left w:w="100" w:type="dxa"/>
              <w:bottom w:w="60" w:type="dxa"/>
              <w:right w:w="100" w:type="dxa"/>
            </w:tcMar>
          </w:tcPr>
          <w:p w14:paraId="7180B0CF" w14:textId="77777777" w:rsidR="003F2C08" w:rsidRDefault="00000000">
            <w:pPr>
              <w:spacing w:after="40"/>
            </w:pPr>
            <w:r>
              <w:t>6 — UPDATE CADENCE</w:t>
            </w:r>
          </w:p>
        </w:tc>
        <w:tc>
          <w:tcPr>
            <w:tcW w:w="900" w:type="dxa"/>
            <w:tcMar>
              <w:top w:w="60" w:type="dxa"/>
              <w:left w:w="100" w:type="dxa"/>
              <w:bottom w:w="60" w:type="dxa"/>
              <w:right w:w="100" w:type="dxa"/>
            </w:tcMar>
          </w:tcPr>
          <w:p w14:paraId="710BF792" w14:textId="77777777" w:rsidR="003F2C08" w:rsidRDefault="00000000">
            <w:pPr>
              <w:spacing w:after="40"/>
            </w:pPr>
            <w:r>
              <w:t>1</w:t>
            </w:r>
          </w:p>
        </w:tc>
        <w:tc>
          <w:tcPr>
            <w:tcW w:w="6780" w:type="dxa"/>
            <w:tcMar>
              <w:top w:w="60" w:type="dxa"/>
              <w:left w:w="100" w:type="dxa"/>
              <w:bottom w:w="60" w:type="dxa"/>
              <w:right w:w="100" w:type="dxa"/>
            </w:tcMar>
          </w:tcPr>
          <w:p w14:paraId="73259E56" w14:textId="77777777" w:rsidR="003F2C08" w:rsidRDefault="00000000">
            <w:pPr>
              <w:spacing w:after="40"/>
            </w:pPr>
            <w:r>
              <w:t>No page carries a publication date, version, or review schedule; the only commitment is the open-ended “this website will be updated.”</w:t>
            </w:r>
          </w:p>
        </w:tc>
      </w:tr>
      <w:tr w:rsidR="003F2C08" w14:paraId="7B2B9B6D" w14:textId="77777777">
        <w:tblPrEx>
          <w:tblCellMar>
            <w:top w:w="0" w:type="dxa"/>
            <w:bottom w:w="0" w:type="dxa"/>
          </w:tblCellMar>
        </w:tblPrEx>
        <w:tc>
          <w:tcPr>
            <w:tcW w:w="2400" w:type="dxa"/>
            <w:tcMar>
              <w:top w:w="60" w:type="dxa"/>
              <w:left w:w="100" w:type="dxa"/>
              <w:bottom w:w="60" w:type="dxa"/>
              <w:right w:w="100" w:type="dxa"/>
            </w:tcMar>
          </w:tcPr>
          <w:p w14:paraId="5AAE7470" w14:textId="77777777" w:rsidR="003F2C08" w:rsidRDefault="00000000">
            <w:pPr>
              <w:spacing w:after="40"/>
            </w:pPr>
            <w:r>
              <w:t>TOTAL</w:t>
            </w:r>
          </w:p>
        </w:tc>
        <w:tc>
          <w:tcPr>
            <w:tcW w:w="900" w:type="dxa"/>
            <w:tcMar>
              <w:top w:w="60" w:type="dxa"/>
              <w:left w:w="100" w:type="dxa"/>
              <w:bottom w:w="60" w:type="dxa"/>
              <w:right w:w="100" w:type="dxa"/>
            </w:tcMar>
          </w:tcPr>
          <w:p w14:paraId="71B5C83F" w14:textId="77777777" w:rsidR="003F2C08" w:rsidRDefault="00000000">
            <w:pPr>
              <w:spacing w:after="40"/>
            </w:pPr>
            <w:r>
              <w:t>12/30</w:t>
            </w:r>
          </w:p>
        </w:tc>
        <w:tc>
          <w:tcPr>
            <w:tcW w:w="6780" w:type="dxa"/>
            <w:tcMar>
              <w:top w:w="60" w:type="dxa"/>
              <w:left w:w="100" w:type="dxa"/>
              <w:bottom w:w="60" w:type="dxa"/>
              <w:right w:w="100" w:type="dxa"/>
            </w:tcMar>
          </w:tcPr>
          <w:p w14:paraId="65D017BD" w14:textId="77777777" w:rsidR="003F2C08" w:rsidRDefault="00000000">
            <w:pPr>
              <w:spacing w:after="40"/>
            </w:pPr>
            <w:r>
              <w:t>Sensible data rules resting on guidance with no owner, no dates, and no teeth.</w:t>
            </w:r>
          </w:p>
        </w:tc>
      </w:tr>
    </w:tbl>
    <w:p w14:paraId="52F6A8C5" w14:textId="77777777" w:rsidR="003F2C08" w:rsidRDefault="00000000">
      <w:pPr>
        <w:spacing w:before="240" w:after="120"/>
      </w:pPr>
      <w:r>
        <w:rPr>
          <w:b/>
          <w:bCs/>
          <w:sz w:val="24"/>
          <w:szCs w:val="24"/>
        </w:rPr>
        <w:t>INSTITUTION B: University of Michigan (public R1, AAU peer) — website guidance (ITS Safe Computing “Artificial Intelligence and U-M Data” + genai.umich.edu suite) resting on pre-existing SPG policies; undated.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780"/>
      </w:tblGrid>
      <w:tr w:rsidR="003F2C08" w14:paraId="2F6BEB9F" w14:textId="77777777">
        <w:tblPrEx>
          <w:tblCellMar>
            <w:top w:w="0" w:type="dxa"/>
            <w:bottom w:w="0" w:type="dxa"/>
          </w:tblCellMar>
        </w:tblPrEx>
        <w:trPr>
          <w:tblHeader/>
        </w:trPr>
        <w:tc>
          <w:tcPr>
            <w:tcW w:w="2400" w:type="dxa"/>
            <w:shd w:val="clear" w:color="auto" w:fill="E8E8E8"/>
            <w:tcMar>
              <w:top w:w="60" w:type="dxa"/>
              <w:left w:w="100" w:type="dxa"/>
              <w:bottom w:w="60" w:type="dxa"/>
              <w:right w:w="100" w:type="dxa"/>
            </w:tcMar>
          </w:tcPr>
          <w:p w14:paraId="5BB5774A" w14:textId="77777777" w:rsidR="003F2C08" w:rsidRDefault="00000000">
            <w:r>
              <w:rPr>
                <w:b/>
                <w:bCs/>
              </w:rPr>
              <w:t>Dimension</w:t>
            </w:r>
          </w:p>
        </w:tc>
        <w:tc>
          <w:tcPr>
            <w:tcW w:w="900" w:type="dxa"/>
            <w:shd w:val="clear" w:color="auto" w:fill="E8E8E8"/>
            <w:tcMar>
              <w:top w:w="60" w:type="dxa"/>
              <w:left w:w="100" w:type="dxa"/>
              <w:bottom w:w="60" w:type="dxa"/>
              <w:right w:w="100" w:type="dxa"/>
            </w:tcMar>
          </w:tcPr>
          <w:p w14:paraId="5BAE3709" w14:textId="77777777" w:rsidR="003F2C08" w:rsidRDefault="00000000">
            <w:r>
              <w:rPr>
                <w:b/>
                <w:bCs/>
              </w:rPr>
              <w:t>Score</w:t>
            </w:r>
          </w:p>
        </w:tc>
        <w:tc>
          <w:tcPr>
            <w:tcW w:w="6780" w:type="dxa"/>
            <w:shd w:val="clear" w:color="auto" w:fill="E8E8E8"/>
            <w:tcMar>
              <w:top w:w="60" w:type="dxa"/>
              <w:left w:w="100" w:type="dxa"/>
              <w:bottom w:w="60" w:type="dxa"/>
              <w:right w:w="100" w:type="dxa"/>
            </w:tcMar>
          </w:tcPr>
          <w:p w14:paraId="4582365A" w14:textId="77777777" w:rsidR="003F2C08" w:rsidRDefault="00000000">
            <w:r>
              <w:rPr>
                <w:b/>
                <w:bCs/>
              </w:rPr>
              <w:t>Justification (one sentence)</w:t>
            </w:r>
          </w:p>
        </w:tc>
      </w:tr>
      <w:tr w:rsidR="003F2C08" w14:paraId="5FB5F4A2" w14:textId="77777777">
        <w:tblPrEx>
          <w:tblCellMar>
            <w:top w:w="0" w:type="dxa"/>
            <w:bottom w:w="0" w:type="dxa"/>
          </w:tblCellMar>
        </w:tblPrEx>
        <w:tc>
          <w:tcPr>
            <w:tcW w:w="2400" w:type="dxa"/>
            <w:tcMar>
              <w:top w:w="60" w:type="dxa"/>
              <w:left w:w="100" w:type="dxa"/>
              <w:bottom w:w="60" w:type="dxa"/>
              <w:right w:w="100" w:type="dxa"/>
            </w:tcMar>
          </w:tcPr>
          <w:p w14:paraId="5A3AECD4" w14:textId="77777777" w:rsidR="003F2C08" w:rsidRDefault="00000000">
            <w:pPr>
              <w:spacing w:after="40"/>
            </w:pPr>
            <w:r>
              <w:t>1 — SCOPE</w:t>
            </w:r>
          </w:p>
        </w:tc>
        <w:tc>
          <w:tcPr>
            <w:tcW w:w="900" w:type="dxa"/>
            <w:tcMar>
              <w:top w:w="60" w:type="dxa"/>
              <w:left w:w="100" w:type="dxa"/>
              <w:bottom w:w="60" w:type="dxa"/>
              <w:right w:w="100" w:type="dxa"/>
            </w:tcMar>
          </w:tcPr>
          <w:p w14:paraId="219C7874" w14:textId="77777777" w:rsidR="003F2C08" w:rsidRDefault="00000000">
            <w:pPr>
              <w:spacing w:after="40"/>
            </w:pPr>
            <w:r>
              <w:t>3</w:t>
            </w:r>
          </w:p>
        </w:tc>
        <w:tc>
          <w:tcPr>
            <w:tcW w:w="6780" w:type="dxa"/>
            <w:tcMar>
              <w:top w:w="60" w:type="dxa"/>
              <w:left w:w="100" w:type="dxa"/>
              <w:bottom w:w="60" w:type="dxa"/>
              <w:right w:w="100" w:type="dxa"/>
            </w:tcMar>
          </w:tcPr>
          <w:p w14:paraId="0AC5C226" w14:textId="77777777" w:rsidR="003F2C08" w:rsidRDefault="00000000">
            <w:pPr>
              <w:spacing w:after="40"/>
            </w:pPr>
            <w:r>
              <w:t>Faculty, staff, and students across all campuses and Michigan Medicine are explicitly covered, but “U-M community members” is undefined and contractors and affiliates are never mentioned.</w:t>
            </w:r>
          </w:p>
        </w:tc>
      </w:tr>
      <w:tr w:rsidR="003F2C08" w14:paraId="1EB554A5" w14:textId="77777777">
        <w:tblPrEx>
          <w:tblCellMar>
            <w:top w:w="0" w:type="dxa"/>
            <w:bottom w:w="0" w:type="dxa"/>
          </w:tblCellMar>
        </w:tblPrEx>
        <w:tc>
          <w:tcPr>
            <w:tcW w:w="2400" w:type="dxa"/>
            <w:tcMar>
              <w:top w:w="60" w:type="dxa"/>
              <w:left w:w="100" w:type="dxa"/>
              <w:bottom w:w="60" w:type="dxa"/>
              <w:right w:w="100" w:type="dxa"/>
            </w:tcMar>
          </w:tcPr>
          <w:p w14:paraId="6276D9F8" w14:textId="77777777" w:rsidR="003F2C08" w:rsidRDefault="00000000">
            <w:pPr>
              <w:spacing w:after="40"/>
            </w:pPr>
            <w:r>
              <w:t>2 — CLARITY</w:t>
            </w:r>
          </w:p>
        </w:tc>
        <w:tc>
          <w:tcPr>
            <w:tcW w:w="900" w:type="dxa"/>
            <w:tcMar>
              <w:top w:w="60" w:type="dxa"/>
              <w:left w:w="100" w:type="dxa"/>
              <w:bottom w:w="60" w:type="dxa"/>
              <w:right w:w="100" w:type="dxa"/>
            </w:tcMar>
          </w:tcPr>
          <w:p w14:paraId="0494E73F" w14:textId="77777777" w:rsidR="003F2C08" w:rsidRDefault="00000000">
            <w:pPr>
              <w:spacing w:after="40"/>
            </w:pPr>
            <w:r>
              <w:t>4</w:t>
            </w:r>
          </w:p>
        </w:tc>
        <w:tc>
          <w:tcPr>
            <w:tcW w:w="6780" w:type="dxa"/>
            <w:tcMar>
              <w:top w:w="60" w:type="dxa"/>
              <w:left w:w="100" w:type="dxa"/>
              <w:bottom w:w="60" w:type="dxa"/>
              <w:right w:w="100" w:type="dxa"/>
            </w:tcMar>
          </w:tcPr>
          <w:p w14:paraId="5F7821CB" w14:textId="55E11517" w:rsidR="003F2C08" w:rsidRDefault="00000000">
            <w:pPr>
              <w:spacing w:after="40"/>
            </w:pPr>
            <w:r>
              <w:t xml:space="preserve">Data rules are tied to defined classification levels and are genuinely actionable uncontracted AI services may take LOW-classified data only, </w:t>
            </w:r>
            <w:r>
              <w:lastRenderedPageBreak/>
              <w:t>while U-M’s own services are approved to Moderate including FERPA — though academic permissibility is devolved to instructors.</w:t>
            </w:r>
          </w:p>
        </w:tc>
      </w:tr>
      <w:tr w:rsidR="003F2C08" w14:paraId="0B44C517" w14:textId="77777777">
        <w:tblPrEx>
          <w:tblCellMar>
            <w:top w:w="0" w:type="dxa"/>
            <w:bottom w:w="0" w:type="dxa"/>
          </w:tblCellMar>
        </w:tblPrEx>
        <w:tc>
          <w:tcPr>
            <w:tcW w:w="2400" w:type="dxa"/>
            <w:tcMar>
              <w:top w:w="60" w:type="dxa"/>
              <w:left w:w="100" w:type="dxa"/>
              <w:bottom w:w="60" w:type="dxa"/>
              <w:right w:w="100" w:type="dxa"/>
            </w:tcMar>
          </w:tcPr>
          <w:p w14:paraId="2D7D06FF" w14:textId="77777777" w:rsidR="003F2C08" w:rsidRDefault="00000000">
            <w:pPr>
              <w:spacing w:after="40"/>
            </w:pPr>
            <w:r>
              <w:lastRenderedPageBreak/>
              <w:t>3 — ENFORCEMENT</w:t>
            </w:r>
          </w:p>
        </w:tc>
        <w:tc>
          <w:tcPr>
            <w:tcW w:w="900" w:type="dxa"/>
            <w:tcMar>
              <w:top w:w="60" w:type="dxa"/>
              <w:left w:w="100" w:type="dxa"/>
              <w:bottom w:w="60" w:type="dxa"/>
              <w:right w:w="100" w:type="dxa"/>
            </w:tcMar>
          </w:tcPr>
          <w:p w14:paraId="3082424C" w14:textId="77777777" w:rsidR="003F2C08" w:rsidRDefault="00000000">
            <w:pPr>
              <w:spacing w:after="40"/>
            </w:pPr>
            <w:r>
              <w:t>2</w:t>
            </w:r>
          </w:p>
        </w:tc>
        <w:tc>
          <w:tcPr>
            <w:tcW w:w="6780" w:type="dxa"/>
            <w:tcMar>
              <w:top w:w="60" w:type="dxa"/>
              <w:left w:w="100" w:type="dxa"/>
              <w:bottom w:w="60" w:type="dxa"/>
              <w:right w:w="100" w:type="dxa"/>
            </w:tcMar>
          </w:tcPr>
          <w:p w14:paraId="10363966" w14:textId="77777777" w:rsidR="003F2C08" w:rsidRDefault="00000000">
            <w:pPr>
              <w:spacing w:after="40"/>
            </w:pPr>
            <w:r>
              <w:t>Named offices exist to consult (ITS Information Assurance, the IT User Advocate), but the guidance states no sanctions and hands violations to pre-existing misconduct processes and SPGs.</w:t>
            </w:r>
          </w:p>
        </w:tc>
      </w:tr>
      <w:tr w:rsidR="003F2C08" w14:paraId="6DD28A1C" w14:textId="77777777">
        <w:tblPrEx>
          <w:tblCellMar>
            <w:top w:w="0" w:type="dxa"/>
            <w:bottom w:w="0" w:type="dxa"/>
          </w:tblCellMar>
        </w:tblPrEx>
        <w:tc>
          <w:tcPr>
            <w:tcW w:w="2400" w:type="dxa"/>
            <w:tcMar>
              <w:top w:w="60" w:type="dxa"/>
              <w:left w:w="100" w:type="dxa"/>
              <w:bottom w:w="60" w:type="dxa"/>
              <w:right w:w="100" w:type="dxa"/>
            </w:tcMar>
          </w:tcPr>
          <w:p w14:paraId="6849BE52" w14:textId="77777777" w:rsidR="003F2C08" w:rsidRDefault="00000000">
            <w:pPr>
              <w:spacing w:after="40"/>
            </w:pPr>
            <w:r>
              <w:t>4 — STUDENT PROTECTIONS</w:t>
            </w:r>
          </w:p>
        </w:tc>
        <w:tc>
          <w:tcPr>
            <w:tcW w:w="900" w:type="dxa"/>
            <w:tcMar>
              <w:top w:w="60" w:type="dxa"/>
              <w:left w:w="100" w:type="dxa"/>
              <w:bottom w:w="60" w:type="dxa"/>
              <w:right w:w="100" w:type="dxa"/>
            </w:tcMar>
          </w:tcPr>
          <w:p w14:paraId="70174E1E" w14:textId="77777777" w:rsidR="003F2C08" w:rsidRDefault="00000000">
            <w:pPr>
              <w:spacing w:after="40"/>
            </w:pPr>
            <w:r>
              <w:t>4</w:t>
            </w:r>
          </w:p>
        </w:tc>
        <w:tc>
          <w:tcPr>
            <w:tcW w:w="6780" w:type="dxa"/>
            <w:tcMar>
              <w:top w:w="60" w:type="dxa"/>
              <w:left w:w="100" w:type="dxa"/>
              <w:bottom w:w="60" w:type="dxa"/>
              <w:right w:w="100" w:type="dxa"/>
            </w:tcMar>
          </w:tcPr>
          <w:p w14:paraId="491CB82E" w14:textId="77777777" w:rsidR="003F2C08" w:rsidRDefault="00000000">
            <w:pPr>
              <w:spacing w:after="40"/>
            </w:pPr>
            <w:r>
              <w:t>U-M affirmatively protects students by discouraging AI detectors (“U-M does not recommend the use of AI-detection technology at this time given their high error rate”) and by not training models on user data, but formal accusation and appeal procedures are absent.</w:t>
            </w:r>
          </w:p>
        </w:tc>
      </w:tr>
      <w:tr w:rsidR="003F2C08" w14:paraId="07A84B90" w14:textId="77777777">
        <w:tblPrEx>
          <w:tblCellMar>
            <w:top w:w="0" w:type="dxa"/>
            <w:bottom w:w="0" w:type="dxa"/>
          </w:tblCellMar>
        </w:tblPrEx>
        <w:tc>
          <w:tcPr>
            <w:tcW w:w="2400" w:type="dxa"/>
            <w:tcMar>
              <w:top w:w="60" w:type="dxa"/>
              <w:left w:w="100" w:type="dxa"/>
              <w:bottom w:w="60" w:type="dxa"/>
              <w:right w:w="100" w:type="dxa"/>
            </w:tcMar>
          </w:tcPr>
          <w:p w14:paraId="4109465D" w14:textId="77777777" w:rsidR="003F2C08" w:rsidRDefault="00000000">
            <w:pPr>
              <w:spacing w:after="40"/>
            </w:pPr>
            <w:r>
              <w:t>5 — FACULTY/STAFF RIGHTS</w:t>
            </w:r>
          </w:p>
        </w:tc>
        <w:tc>
          <w:tcPr>
            <w:tcW w:w="900" w:type="dxa"/>
            <w:tcMar>
              <w:top w:w="60" w:type="dxa"/>
              <w:left w:w="100" w:type="dxa"/>
              <w:bottom w:w="60" w:type="dxa"/>
              <w:right w:w="100" w:type="dxa"/>
            </w:tcMar>
          </w:tcPr>
          <w:p w14:paraId="1BDD30BC" w14:textId="77777777" w:rsidR="003F2C08" w:rsidRDefault="00000000">
            <w:pPr>
              <w:spacing w:after="40"/>
            </w:pPr>
            <w:r>
              <w:t>4</w:t>
            </w:r>
          </w:p>
        </w:tc>
        <w:tc>
          <w:tcPr>
            <w:tcW w:w="6780" w:type="dxa"/>
            <w:tcMar>
              <w:top w:w="60" w:type="dxa"/>
              <w:left w:w="100" w:type="dxa"/>
              <w:bottom w:w="60" w:type="dxa"/>
              <w:right w:w="100" w:type="dxa"/>
            </w:tcMar>
          </w:tcPr>
          <w:p w14:paraId="0FA352B3" w14:textId="77777777" w:rsidR="003F2C08" w:rsidRDefault="00000000">
            <w:pPr>
              <w:spacing w:after="40"/>
            </w:pPr>
            <w:r>
              <w:t>Instructor authority is explicit and structural (“Each instructor must clearly articulate their own expectations and policies for GenAI use”), though academic freedom is never invoked by name.</w:t>
            </w:r>
          </w:p>
        </w:tc>
      </w:tr>
      <w:tr w:rsidR="003F2C08" w14:paraId="4C4A68A9" w14:textId="77777777">
        <w:tblPrEx>
          <w:tblCellMar>
            <w:top w:w="0" w:type="dxa"/>
            <w:bottom w:w="0" w:type="dxa"/>
          </w:tblCellMar>
        </w:tblPrEx>
        <w:tc>
          <w:tcPr>
            <w:tcW w:w="2400" w:type="dxa"/>
            <w:tcMar>
              <w:top w:w="60" w:type="dxa"/>
              <w:left w:w="100" w:type="dxa"/>
              <w:bottom w:w="60" w:type="dxa"/>
              <w:right w:w="100" w:type="dxa"/>
            </w:tcMar>
          </w:tcPr>
          <w:p w14:paraId="5E677F12" w14:textId="77777777" w:rsidR="003F2C08" w:rsidRDefault="00000000">
            <w:pPr>
              <w:spacing w:after="40"/>
            </w:pPr>
            <w:r>
              <w:t>6 — UPDATE CADENCE</w:t>
            </w:r>
          </w:p>
        </w:tc>
        <w:tc>
          <w:tcPr>
            <w:tcW w:w="900" w:type="dxa"/>
            <w:tcMar>
              <w:top w:w="60" w:type="dxa"/>
              <w:left w:w="100" w:type="dxa"/>
              <w:bottom w:w="60" w:type="dxa"/>
              <w:right w:w="100" w:type="dxa"/>
            </w:tcMar>
          </w:tcPr>
          <w:p w14:paraId="4382B260" w14:textId="77777777" w:rsidR="003F2C08" w:rsidRDefault="00000000">
            <w:pPr>
              <w:spacing w:after="40"/>
            </w:pPr>
            <w:r>
              <w:t>2</w:t>
            </w:r>
          </w:p>
        </w:tc>
        <w:tc>
          <w:tcPr>
            <w:tcW w:w="6780" w:type="dxa"/>
            <w:tcMar>
              <w:top w:w="60" w:type="dxa"/>
              <w:left w:w="100" w:type="dxa"/>
              <w:bottom w:w="60" w:type="dxa"/>
              <w:right w:w="100" w:type="dxa"/>
            </w:tcMar>
          </w:tcPr>
          <w:p w14:paraId="0801E8BE" w14:textId="22CC4EBA" w:rsidR="003F2C08" w:rsidRDefault="00000000">
            <w:pPr>
              <w:spacing w:after="40"/>
            </w:pPr>
            <w:r>
              <w:t xml:space="preserve">The content is visibly maintained (current model names appear throughout), but no page shows a </w:t>
            </w:r>
            <w:r w:rsidR="00C05E2E">
              <w:t>date,</w:t>
            </w:r>
            <w:r>
              <w:t xml:space="preserve"> and no review schedule is stated anywhere.</w:t>
            </w:r>
          </w:p>
        </w:tc>
      </w:tr>
      <w:tr w:rsidR="003F2C08" w14:paraId="16B7FEE6" w14:textId="77777777">
        <w:tblPrEx>
          <w:tblCellMar>
            <w:top w:w="0" w:type="dxa"/>
            <w:bottom w:w="0" w:type="dxa"/>
          </w:tblCellMar>
        </w:tblPrEx>
        <w:tc>
          <w:tcPr>
            <w:tcW w:w="2400" w:type="dxa"/>
            <w:tcMar>
              <w:top w:w="60" w:type="dxa"/>
              <w:left w:w="100" w:type="dxa"/>
              <w:bottom w:w="60" w:type="dxa"/>
              <w:right w:w="100" w:type="dxa"/>
            </w:tcMar>
          </w:tcPr>
          <w:p w14:paraId="5D9DF89B" w14:textId="77777777" w:rsidR="003F2C08" w:rsidRDefault="00000000">
            <w:pPr>
              <w:spacing w:after="40"/>
            </w:pPr>
            <w:r>
              <w:t>TOTAL</w:t>
            </w:r>
          </w:p>
        </w:tc>
        <w:tc>
          <w:tcPr>
            <w:tcW w:w="900" w:type="dxa"/>
            <w:tcMar>
              <w:top w:w="60" w:type="dxa"/>
              <w:left w:w="100" w:type="dxa"/>
              <w:bottom w:w="60" w:type="dxa"/>
              <w:right w:w="100" w:type="dxa"/>
            </w:tcMar>
          </w:tcPr>
          <w:p w14:paraId="10572AA7" w14:textId="77777777" w:rsidR="003F2C08" w:rsidRDefault="00000000">
            <w:pPr>
              <w:spacing w:after="40"/>
            </w:pPr>
            <w:r>
              <w:t>19/30</w:t>
            </w:r>
          </w:p>
        </w:tc>
        <w:tc>
          <w:tcPr>
            <w:tcW w:w="6780" w:type="dxa"/>
            <w:tcMar>
              <w:top w:w="60" w:type="dxa"/>
              <w:left w:w="100" w:type="dxa"/>
              <w:bottom w:w="60" w:type="dxa"/>
              <w:right w:w="100" w:type="dxa"/>
            </w:tcMar>
          </w:tcPr>
          <w:p w14:paraId="7B0C020F" w14:textId="77777777" w:rsidR="003F2C08" w:rsidRDefault="00000000">
            <w:pPr>
              <w:spacing w:after="40"/>
            </w:pPr>
            <w:r>
              <w:t>The best data-classification clarity of the three, undercut by undated, unscheduled guidance.</w:t>
            </w:r>
          </w:p>
        </w:tc>
      </w:tr>
    </w:tbl>
    <w:p w14:paraId="2BBA845D" w14:textId="77777777" w:rsidR="003F2C08" w:rsidRDefault="00000000">
      <w:pPr>
        <w:spacing w:before="240" w:after="120"/>
      </w:pPr>
      <w:r>
        <w:rPr>
          <w:b/>
          <w:bCs/>
          <w:sz w:val="24"/>
          <w:szCs w:val="24"/>
        </w:rPr>
        <w:t>INSTITUTION C: Purdue University (public R1, land-grant peer) — adopted, numbered university policy “Artificial Intelligence Use” (VII.A.5), issued 1 Nov 2025, plus Provost teaching guidance.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6780"/>
      </w:tblGrid>
      <w:tr w:rsidR="003F2C08" w14:paraId="6A1DDB94" w14:textId="77777777">
        <w:tblPrEx>
          <w:tblCellMar>
            <w:top w:w="0" w:type="dxa"/>
            <w:bottom w:w="0" w:type="dxa"/>
          </w:tblCellMar>
        </w:tblPrEx>
        <w:trPr>
          <w:tblHeader/>
        </w:trPr>
        <w:tc>
          <w:tcPr>
            <w:tcW w:w="2400" w:type="dxa"/>
            <w:shd w:val="clear" w:color="auto" w:fill="E8E8E8"/>
            <w:tcMar>
              <w:top w:w="60" w:type="dxa"/>
              <w:left w:w="100" w:type="dxa"/>
              <w:bottom w:w="60" w:type="dxa"/>
              <w:right w:w="100" w:type="dxa"/>
            </w:tcMar>
          </w:tcPr>
          <w:p w14:paraId="2D74B037" w14:textId="77777777" w:rsidR="003F2C08" w:rsidRDefault="00000000">
            <w:r>
              <w:rPr>
                <w:b/>
                <w:bCs/>
              </w:rPr>
              <w:t>Dimension</w:t>
            </w:r>
          </w:p>
        </w:tc>
        <w:tc>
          <w:tcPr>
            <w:tcW w:w="900" w:type="dxa"/>
            <w:shd w:val="clear" w:color="auto" w:fill="E8E8E8"/>
            <w:tcMar>
              <w:top w:w="60" w:type="dxa"/>
              <w:left w:w="100" w:type="dxa"/>
              <w:bottom w:w="60" w:type="dxa"/>
              <w:right w:w="100" w:type="dxa"/>
            </w:tcMar>
          </w:tcPr>
          <w:p w14:paraId="7098EBF2" w14:textId="77777777" w:rsidR="003F2C08" w:rsidRDefault="00000000">
            <w:r>
              <w:rPr>
                <w:b/>
                <w:bCs/>
              </w:rPr>
              <w:t>Score</w:t>
            </w:r>
          </w:p>
        </w:tc>
        <w:tc>
          <w:tcPr>
            <w:tcW w:w="6780" w:type="dxa"/>
            <w:shd w:val="clear" w:color="auto" w:fill="E8E8E8"/>
            <w:tcMar>
              <w:top w:w="60" w:type="dxa"/>
              <w:left w:w="100" w:type="dxa"/>
              <w:bottom w:w="60" w:type="dxa"/>
              <w:right w:w="100" w:type="dxa"/>
            </w:tcMar>
          </w:tcPr>
          <w:p w14:paraId="35A08512" w14:textId="77777777" w:rsidR="003F2C08" w:rsidRDefault="00000000">
            <w:r>
              <w:rPr>
                <w:b/>
                <w:bCs/>
              </w:rPr>
              <w:t>Justification (one sentence)</w:t>
            </w:r>
          </w:p>
        </w:tc>
      </w:tr>
      <w:tr w:rsidR="003F2C08" w14:paraId="1C53E109" w14:textId="77777777">
        <w:tblPrEx>
          <w:tblCellMar>
            <w:top w:w="0" w:type="dxa"/>
            <w:bottom w:w="0" w:type="dxa"/>
          </w:tblCellMar>
        </w:tblPrEx>
        <w:tc>
          <w:tcPr>
            <w:tcW w:w="2400" w:type="dxa"/>
            <w:tcMar>
              <w:top w:w="60" w:type="dxa"/>
              <w:left w:w="100" w:type="dxa"/>
              <w:bottom w:w="60" w:type="dxa"/>
              <w:right w:w="100" w:type="dxa"/>
            </w:tcMar>
          </w:tcPr>
          <w:p w14:paraId="167DA704" w14:textId="77777777" w:rsidR="003F2C08" w:rsidRDefault="00000000">
            <w:pPr>
              <w:spacing w:after="40"/>
            </w:pPr>
            <w:r>
              <w:t>1 — SCOPE</w:t>
            </w:r>
          </w:p>
        </w:tc>
        <w:tc>
          <w:tcPr>
            <w:tcW w:w="900" w:type="dxa"/>
            <w:tcMar>
              <w:top w:w="60" w:type="dxa"/>
              <w:left w:w="100" w:type="dxa"/>
              <w:bottom w:w="60" w:type="dxa"/>
              <w:right w:w="100" w:type="dxa"/>
            </w:tcMar>
          </w:tcPr>
          <w:p w14:paraId="6D7D0DA8" w14:textId="77777777" w:rsidR="003F2C08" w:rsidRDefault="00000000">
            <w:pPr>
              <w:spacing w:after="40"/>
            </w:pPr>
            <w:r>
              <w:t>5</w:t>
            </w:r>
          </w:p>
        </w:tc>
        <w:tc>
          <w:tcPr>
            <w:tcW w:w="6780" w:type="dxa"/>
            <w:tcMar>
              <w:top w:w="60" w:type="dxa"/>
              <w:left w:w="100" w:type="dxa"/>
              <w:bottom w:w="60" w:type="dxa"/>
              <w:right w:w="100" w:type="dxa"/>
            </w:tcMar>
          </w:tcPr>
          <w:p w14:paraId="7181D1A0" w14:textId="3D6681BB" w:rsidR="003F2C08" w:rsidRDefault="00000000">
            <w:pPr>
              <w:spacing w:after="40"/>
            </w:pPr>
            <w:r>
              <w:t>The policy expressly covers “All Purdue persons, departments, units, contractors, consultants and campuses using AI” the only document of the three that reaches contractors and consultants.</w:t>
            </w:r>
          </w:p>
        </w:tc>
      </w:tr>
      <w:tr w:rsidR="003F2C08" w14:paraId="4DEC9B7C" w14:textId="77777777">
        <w:tblPrEx>
          <w:tblCellMar>
            <w:top w:w="0" w:type="dxa"/>
            <w:bottom w:w="0" w:type="dxa"/>
          </w:tblCellMar>
        </w:tblPrEx>
        <w:tc>
          <w:tcPr>
            <w:tcW w:w="2400" w:type="dxa"/>
            <w:tcMar>
              <w:top w:w="60" w:type="dxa"/>
              <w:left w:w="100" w:type="dxa"/>
              <w:bottom w:w="60" w:type="dxa"/>
              <w:right w:w="100" w:type="dxa"/>
            </w:tcMar>
          </w:tcPr>
          <w:p w14:paraId="58ECDE20" w14:textId="77777777" w:rsidR="003F2C08" w:rsidRDefault="00000000">
            <w:pPr>
              <w:spacing w:after="40"/>
            </w:pPr>
            <w:r>
              <w:t>2 — CLARITY</w:t>
            </w:r>
          </w:p>
        </w:tc>
        <w:tc>
          <w:tcPr>
            <w:tcW w:w="900" w:type="dxa"/>
            <w:tcMar>
              <w:top w:w="60" w:type="dxa"/>
              <w:left w:w="100" w:type="dxa"/>
              <w:bottom w:w="60" w:type="dxa"/>
              <w:right w:w="100" w:type="dxa"/>
            </w:tcMar>
          </w:tcPr>
          <w:p w14:paraId="121252E3" w14:textId="77777777" w:rsidR="003F2C08" w:rsidRDefault="00000000">
            <w:pPr>
              <w:spacing w:after="40"/>
            </w:pPr>
            <w:r>
              <w:t>4</w:t>
            </w:r>
          </w:p>
        </w:tc>
        <w:tc>
          <w:tcPr>
            <w:tcW w:w="6780" w:type="dxa"/>
            <w:tcMar>
              <w:top w:w="60" w:type="dxa"/>
              <w:left w:w="100" w:type="dxa"/>
              <w:bottom w:w="60" w:type="dxa"/>
              <w:right w:w="100" w:type="dxa"/>
            </w:tcMar>
          </w:tcPr>
          <w:p w14:paraId="64027919" w14:textId="1FE44FF3" w:rsidR="003F2C08" w:rsidRDefault="00000000">
            <w:pPr>
              <w:spacing w:after="40"/>
            </w:pPr>
            <w:r>
              <w:t>Binding rules are precise — “Sensitive and Restricted Data... must not be entered into AI tools without prior approval,” an approved-tools list, and a bar on AI as “the sole factor” in personnel, award, or disciplinary decisions with classroom specifics deferred to Provost guidance.</w:t>
            </w:r>
          </w:p>
        </w:tc>
      </w:tr>
      <w:tr w:rsidR="003F2C08" w14:paraId="6EC66628" w14:textId="77777777">
        <w:tblPrEx>
          <w:tblCellMar>
            <w:top w:w="0" w:type="dxa"/>
            <w:bottom w:w="0" w:type="dxa"/>
          </w:tblCellMar>
        </w:tblPrEx>
        <w:tc>
          <w:tcPr>
            <w:tcW w:w="2400" w:type="dxa"/>
            <w:tcMar>
              <w:top w:w="60" w:type="dxa"/>
              <w:left w:w="100" w:type="dxa"/>
              <w:bottom w:w="60" w:type="dxa"/>
              <w:right w:w="100" w:type="dxa"/>
            </w:tcMar>
          </w:tcPr>
          <w:p w14:paraId="0915B100" w14:textId="77777777" w:rsidR="003F2C08" w:rsidRDefault="00000000">
            <w:pPr>
              <w:spacing w:after="40"/>
            </w:pPr>
            <w:r>
              <w:t>3 — ENFORCEMENT</w:t>
            </w:r>
          </w:p>
        </w:tc>
        <w:tc>
          <w:tcPr>
            <w:tcW w:w="900" w:type="dxa"/>
            <w:tcMar>
              <w:top w:w="60" w:type="dxa"/>
              <w:left w:w="100" w:type="dxa"/>
              <w:bottom w:w="60" w:type="dxa"/>
              <w:right w:w="100" w:type="dxa"/>
            </w:tcMar>
          </w:tcPr>
          <w:p w14:paraId="20341562" w14:textId="77777777" w:rsidR="003F2C08" w:rsidRDefault="00000000">
            <w:pPr>
              <w:spacing w:after="40"/>
            </w:pPr>
            <w:r>
              <w:t>3</w:t>
            </w:r>
          </w:p>
        </w:tc>
        <w:tc>
          <w:tcPr>
            <w:tcW w:w="6780" w:type="dxa"/>
            <w:tcMar>
              <w:top w:w="60" w:type="dxa"/>
              <w:left w:w="100" w:type="dxa"/>
              <w:bottom w:w="60" w:type="dxa"/>
              <w:right w:w="100" w:type="dxa"/>
            </w:tcMar>
          </w:tcPr>
          <w:p w14:paraId="092515EA" w14:textId="77777777" w:rsidR="003F2C08" w:rsidRDefault="00000000">
            <w:pPr>
              <w:spacing w:after="40"/>
            </w:pPr>
            <w:r>
              <w:t>Responsible offices are named (Purdue Systems Security, the CISO) with monitoring and a mandatory duty to self-report data incidents, but the policy states no consequences for violators.</w:t>
            </w:r>
          </w:p>
        </w:tc>
      </w:tr>
      <w:tr w:rsidR="003F2C08" w14:paraId="1A900925" w14:textId="77777777">
        <w:tblPrEx>
          <w:tblCellMar>
            <w:top w:w="0" w:type="dxa"/>
            <w:bottom w:w="0" w:type="dxa"/>
          </w:tblCellMar>
        </w:tblPrEx>
        <w:tc>
          <w:tcPr>
            <w:tcW w:w="2400" w:type="dxa"/>
            <w:tcMar>
              <w:top w:w="60" w:type="dxa"/>
              <w:left w:w="100" w:type="dxa"/>
              <w:bottom w:w="60" w:type="dxa"/>
              <w:right w:w="100" w:type="dxa"/>
            </w:tcMar>
          </w:tcPr>
          <w:p w14:paraId="4C49F68E" w14:textId="77777777" w:rsidR="003F2C08" w:rsidRDefault="00000000">
            <w:pPr>
              <w:spacing w:after="40"/>
            </w:pPr>
            <w:r>
              <w:t>4 — STUDENT PROTECTIONS</w:t>
            </w:r>
          </w:p>
        </w:tc>
        <w:tc>
          <w:tcPr>
            <w:tcW w:w="900" w:type="dxa"/>
            <w:tcMar>
              <w:top w:w="60" w:type="dxa"/>
              <w:left w:w="100" w:type="dxa"/>
              <w:bottom w:w="60" w:type="dxa"/>
              <w:right w:w="100" w:type="dxa"/>
            </w:tcMar>
          </w:tcPr>
          <w:p w14:paraId="4C848053" w14:textId="77777777" w:rsidR="003F2C08" w:rsidRDefault="00000000">
            <w:pPr>
              <w:spacing w:after="40"/>
            </w:pPr>
            <w:r>
              <w:t>4</w:t>
            </w:r>
          </w:p>
        </w:tc>
        <w:tc>
          <w:tcPr>
            <w:tcW w:w="6780" w:type="dxa"/>
            <w:tcMar>
              <w:top w:w="60" w:type="dxa"/>
              <w:left w:w="100" w:type="dxa"/>
              <w:bottom w:w="60" w:type="dxa"/>
              <w:right w:w="100" w:type="dxa"/>
            </w:tcMar>
          </w:tcPr>
          <w:p w14:paraId="123BC8B9" w14:textId="0BC989A3" w:rsidR="003F2C08" w:rsidRDefault="00000000">
            <w:pPr>
              <w:spacing w:after="40"/>
            </w:pPr>
            <w:r>
              <w:t>The binding policy protects student data and bars AI-only disciplinary decisions, and Provost guidance adds detector skepticism (“very high false-positive rates”) plus a commitment never to share student PII with third-party AI</w:t>
            </w:r>
            <w:r w:rsidR="00C05E2E">
              <w:t xml:space="preserve">, </w:t>
            </w:r>
            <w:r>
              <w:t>but the procedural protections sit in advisory guidance, not the policy.</w:t>
            </w:r>
          </w:p>
        </w:tc>
      </w:tr>
      <w:tr w:rsidR="003F2C08" w14:paraId="20E60BBF" w14:textId="77777777">
        <w:tblPrEx>
          <w:tblCellMar>
            <w:top w:w="0" w:type="dxa"/>
            <w:bottom w:w="0" w:type="dxa"/>
          </w:tblCellMar>
        </w:tblPrEx>
        <w:tc>
          <w:tcPr>
            <w:tcW w:w="2400" w:type="dxa"/>
            <w:tcMar>
              <w:top w:w="60" w:type="dxa"/>
              <w:left w:w="100" w:type="dxa"/>
              <w:bottom w:w="60" w:type="dxa"/>
              <w:right w:w="100" w:type="dxa"/>
            </w:tcMar>
          </w:tcPr>
          <w:p w14:paraId="22BBA32A" w14:textId="77777777" w:rsidR="003F2C08" w:rsidRDefault="00000000">
            <w:pPr>
              <w:spacing w:after="40"/>
            </w:pPr>
            <w:r>
              <w:t>5 — FACULTY/STAFF RIGHTS</w:t>
            </w:r>
          </w:p>
        </w:tc>
        <w:tc>
          <w:tcPr>
            <w:tcW w:w="900" w:type="dxa"/>
            <w:tcMar>
              <w:top w:w="60" w:type="dxa"/>
              <w:left w:w="100" w:type="dxa"/>
              <w:bottom w:w="60" w:type="dxa"/>
              <w:right w:w="100" w:type="dxa"/>
            </w:tcMar>
          </w:tcPr>
          <w:p w14:paraId="136F4A1E" w14:textId="77777777" w:rsidR="003F2C08" w:rsidRDefault="00000000">
            <w:pPr>
              <w:spacing w:after="40"/>
            </w:pPr>
            <w:r>
              <w:t>4</w:t>
            </w:r>
          </w:p>
        </w:tc>
        <w:tc>
          <w:tcPr>
            <w:tcW w:w="6780" w:type="dxa"/>
            <w:tcMar>
              <w:top w:w="60" w:type="dxa"/>
              <w:left w:w="100" w:type="dxa"/>
              <w:bottom w:w="60" w:type="dxa"/>
              <w:right w:w="100" w:type="dxa"/>
            </w:tcMar>
          </w:tcPr>
          <w:p w14:paraId="2F7B1BCB" w14:textId="77777777" w:rsidR="003F2C08" w:rsidRDefault="00000000">
            <w:pPr>
              <w:spacing w:after="40"/>
            </w:pPr>
            <w:r>
              <w:t>The policy structurally defers classroom use to Provost guidance, which vests authority in instructors (“The instructor, therefore, should determine and inform students when the use of AI is authorized or unauthorized”), though academic freedom is never named.</w:t>
            </w:r>
          </w:p>
        </w:tc>
      </w:tr>
      <w:tr w:rsidR="003F2C08" w14:paraId="6E1031C4" w14:textId="77777777">
        <w:tblPrEx>
          <w:tblCellMar>
            <w:top w:w="0" w:type="dxa"/>
            <w:bottom w:w="0" w:type="dxa"/>
          </w:tblCellMar>
        </w:tblPrEx>
        <w:tc>
          <w:tcPr>
            <w:tcW w:w="2400" w:type="dxa"/>
            <w:tcMar>
              <w:top w:w="60" w:type="dxa"/>
              <w:left w:w="100" w:type="dxa"/>
              <w:bottom w:w="60" w:type="dxa"/>
              <w:right w:w="100" w:type="dxa"/>
            </w:tcMar>
          </w:tcPr>
          <w:p w14:paraId="345D5F6D" w14:textId="77777777" w:rsidR="003F2C08" w:rsidRDefault="00000000">
            <w:pPr>
              <w:spacing w:after="40"/>
            </w:pPr>
            <w:r>
              <w:lastRenderedPageBreak/>
              <w:t>6 — UPDATE CADENCE</w:t>
            </w:r>
          </w:p>
        </w:tc>
        <w:tc>
          <w:tcPr>
            <w:tcW w:w="900" w:type="dxa"/>
            <w:tcMar>
              <w:top w:w="60" w:type="dxa"/>
              <w:left w:w="100" w:type="dxa"/>
              <w:bottom w:w="60" w:type="dxa"/>
              <w:right w:w="100" w:type="dxa"/>
            </w:tcMar>
          </w:tcPr>
          <w:p w14:paraId="7D22A58C" w14:textId="77777777" w:rsidR="003F2C08" w:rsidRDefault="00000000">
            <w:pPr>
              <w:spacing w:after="40"/>
            </w:pPr>
            <w:r>
              <w:t>4</w:t>
            </w:r>
          </w:p>
        </w:tc>
        <w:tc>
          <w:tcPr>
            <w:tcW w:w="6780" w:type="dxa"/>
            <w:tcMar>
              <w:top w:w="60" w:type="dxa"/>
              <w:left w:w="100" w:type="dxa"/>
              <w:bottom w:w="60" w:type="dxa"/>
              <w:right w:w="100" w:type="dxa"/>
            </w:tcMar>
          </w:tcPr>
          <w:p w14:paraId="3535DA9B" w14:textId="77777777" w:rsidR="003F2C08" w:rsidRDefault="00000000">
            <w:pPr>
              <w:spacing w:after="40"/>
            </w:pPr>
            <w:r>
              <w:t>The policy is dated, shows a documented review three months after adoption (“February 10, 2026: Policy reviewed, no changes”), and sits in a published change-log system, but no fixed review interval or next-review date is stated.</w:t>
            </w:r>
          </w:p>
        </w:tc>
      </w:tr>
      <w:tr w:rsidR="003F2C08" w14:paraId="4141BD02" w14:textId="77777777">
        <w:tblPrEx>
          <w:tblCellMar>
            <w:top w:w="0" w:type="dxa"/>
            <w:bottom w:w="0" w:type="dxa"/>
          </w:tblCellMar>
        </w:tblPrEx>
        <w:tc>
          <w:tcPr>
            <w:tcW w:w="2400" w:type="dxa"/>
            <w:tcMar>
              <w:top w:w="60" w:type="dxa"/>
              <w:left w:w="100" w:type="dxa"/>
              <w:bottom w:w="60" w:type="dxa"/>
              <w:right w:w="100" w:type="dxa"/>
            </w:tcMar>
          </w:tcPr>
          <w:p w14:paraId="7E5214A6" w14:textId="77777777" w:rsidR="003F2C08" w:rsidRDefault="00000000">
            <w:pPr>
              <w:spacing w:after="40"/>
            </w:pPr>
            <w:r>
              <w:t>TOTAL</w:t>
            </w:r>
          </w:p>
        </w:tc>
        <w:tc>
          <w:tcPr>
            <w:tcW w:w="900" w:type="dxa"/>
            <w:tcMar>
              <w:top w:w="60" w:type="dxa"/>
              <w:left w:w="100" w:type="dxa"/>
              <w:bottom w:w="60" w:type="dxa"/>
              <w:right w:w="100" w:type="dxa"/>
            </w:tcMar>
          </w:tcPr>
          <w:p w14:paraId="2DEF2C9A" w14:textId="77777777" w:rsidR="003F2C08" w:rsidRDefault="00000000">
            <w:pPr>
              <w:spacing w:after="40"/>
            </w:pPr>
            <w:r>
              <w:t>24/30</w:t>
            </w:r>
          </w:p>
        </w:tc>
        <w:tc>
          <w:tcPr>
            <w:tcW w:w="6780" w:type="dxa"/>
            <w:tcMar>
              <w:top w:w="60" w:type="dxa"/>
              <w:left w:w="100" w:type="dxa"/>
              <w:bottom w:w="60" w:type="dxa"/>
              <w:right w:w="100" w:type="dxa"/>
            </w:tcMar>
          </w:tcPr>
          <w:p w14:paraId="4B8ED301" w14:textId="77777777" w:rsidR="003F2C08" w:rsidRDefault="00000000">
            <w:pPr>
              <w:spacing w:after="40"/>
            </w:pPr>
            <w:r>
              <w:t>The only adopted, dated, owned policy of the three, still missing stated sanctions and a scheduled review.</w:t>
            </w:r>
          </w:p>
        </w:tc>
      </w:tr>
    </w:tbl>
    <w:p w14:paraId="11FCC1EF" w14:textId="77777777" w:rsidR="003F2C08" w:rsidRDefault="00000000">
      <w:pPr>
        <w:spacing w:before="240" w:after="120"/>
      </w:pPr>
      <w:r>
        <w:rPr>
          <w:b/>
          <w:bCs/>
          <w:sz w:val="24"/>
          <w:szCs w:val="24"/>
        </w:rPr>
        <w:t>200-word synthesis — strongest policy and most common gap:</w:t>
      </w:r>
    </w:p>
    <w:p w14:paraId="28A896E3" w14:textId="1A514F2F" w:rsidR="003F2C08" w:rsidRDefault="00000000">
      <w:pPr>
        <w:pBdr>
          <w:left w:val="single" w:sz="12" w:space="12" w:color="BFBFBF"/>
        </w:pBdr>
        <w:spacing w:after="160"/>
        <w:ind w:left="720"/>
      </w:pPr>
      <w:r>
        <w:t>Purdue is the strongest of the three, and the only one whose document is actually a policy. It alone has an applicability clause reaching contractors and consultants, binding data rules keyed to an approved-tools list, named responsible offices with a mandatory incident-reporting duty, a substantive bar on AI-only disciplinary decisions, and a dated, documented review history. Michigan ranks second on the strength of its data-classification clarity and its unusually protective refusal to endorse AI detectors; ASU trails because its guidance, though sensible, is undated, unowned, and unenforceable. The most common gap is enforcement: not one of the three states consequences for violations each defers to pre-existing conduct processes that predate generative AI. Nearly as common: no forward review date anywhere, and student due-process protections that exist only in advisory guidance, if at all. The pattern shows where the sector’s consensus is and is not developed. All three converge on risk-based data classification rules and instructor authority over classroom use; none has settled sanctions, accusation procedures, or scheduled review. And all three delegate the question students most need answered is this use permitted?  to individual syllabi, preserving instructor discretion at the price of campus-wide clarity. (196 words)</w:t>
      </w:r>
    </w:p>
    <w:p w14:paraId="66B14A9E" w14:textId="4D956975" w:rsidR="003F2C08" w:rsidRDefault="00000000">
      <w:pPr>
        <w:spacing w:before="240" w:after="120"/>
      </w:pPr>
      <w:r>
        <w:rPr>
          <w:b/>
          <w:bCs/>
          <w:sz w:val="24"/>
          <w:szCs w:val="24"/>
        </w:rPr>
        <w:t xml:space="preserve">Sources (documents </w:t>
      </w:r>
      <w:r w:rsidR="00C05E2E">
        <w:rPr>
          <w:b/>
          <w:bCs/>
          <w:sz w:val="24"/>
          <w:szCs w:val="24"/>
        </w:rPr>
        <w:t>used</w:t>
      </w:r>
      <w:r>
        <w:rPr>
          <w:b/>
          <w:bCs/>
          <w:sz w:val="24"/>
          <w:szCs w:val="24"/>
        </w:rPr>
        <w:t xml:space="preserve"> 10 July 2026):</w:t>
      </w:r>
    </w:p>
    <w:p w14:paraId="3A888C88" w14:textId="77777777" w:rsidR="003F2C08" w:rsidRDefault="00000000">
      <w:pPr>
        <w:pStyle w:val="ListParagraph"/>
        <w:numPr>
          <w:ilvl w:val="0"/>
          <w:numId w:val="2"/>
        </w:numPr>
        <w:spacing w:after="80"/>
      </w:pPr>
      <w:r>
        <w:t>ASU: provost.asu.edu/generative-ai (+ /</w:t>
      </w:r>
      <w:proofErr w:type="spellStart"/>
      <w:r>
        <w:t>faqs</w:t>
      </w:r>
      <w:proofErr w:type="spellEnd"/>
      <w:r>
        <w:t>); ai.asu.edu/digital-trust-guidelines; ai.asu.edu/policy-and-resources</w:t>
      </w:r>
    </w:p>
    <w:p w14:paraId="2383FDEC" w14:textId="77777777" w:rsidR="003F2C08" w:rsidRDefault="00000000">
      <w:pPr>
        <w:pStyle w:val="ListParagraph"/>
        <w:numPr>
          <w:ilvl w:val="0"/>
          <w:numId w:val="2"/>
        </w:numPr>
        <w:spacing w:after="80"/>
      </w:pPr>
      <w:r>
        <w:t>U-M: safecomputing.umich.edu/protect-the-u/safely-use-sensitive-data/AI-and-UM-Data; genai.umich.edu/resources (+ /appropriate-use, /faculty); its.umich.edu/computing/ai (+ /</w:t>
      </w:r>
      <w:proofErr w:type="spellStart"/>
      <w:r>
        <w:t>faq</w:t>
      </w:r>
      <w:proofErr w:type="spellEnd"/>
      <w:r>
        <w:t>)</w:t>
      </w:r>
    </w:p>
    <w:p w14:paraId="19B10946" w14:textId="77777777" w:rsidR="003F2C08" w:rsidRDefault="00000000">
      <w:pPr>
        <w:pStyle w:val="ListParagraph"/>
        <w:numPr>
          <w:ilvl w:val="0"/>
          <w:numId w:val="2"/>
        </w:numPr>
        <w:spacing w:after="80"/>
      </w:pPr>
      <w:r>
        <w:t>Purdue: purdue.edu/</w:t>
      </w:r>
      <w:proofErr w:type="spellStart"/>
      <w:r>
        <w:t>vpec</w:t>
      </w:r>
      <w:proofErr w:type="spellEnd"/>
      <w:r>
        <w:t>/policies/information-technology/viia5/; purdue.edu/teaching-learning/instructors/</w:t>
      </w:r>
      <w:proofErr w:type="spellStart"/>
      <w:r>
        <w:t>ai.php</w:t>
      </w:r>
      <w:proofErr w:type="spellEnd"/>
      <w:r>
        <w:t>; purdue.edu/securepurdue/it-policies-standards/Application%20of%20AI.php</w:t>
      </w:r>
    </w:p>
    <w:p w14:paraId="37BD814C" w14:textId="19CFC305" w:rsidR="003F2C08" w:rsidRDefault="003F2C08">
      <w:pPr>
        <w:spacing w:after="120"/>
      </w:pPr>
    </w:p>
    <w:sectPr w:rsidR="003F2C0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0880"/>
    <w:multiLevelType w:val="hybridMultilevel"/>
    <w:tmpl w:val="08ACF608"/>
    <w:lvl w:ilvl="0" w:tplc="128C08E8">
      <w:start w:val="1"/>
      <w:numFmt w:val="bullet"/>
      <w:lvlText w:val="●"/>
      <w:lvlJc w:val="left"/>
      <w:pPr>
        <w:ind w:left="720" w:hanging="360"/>
      </w:pPr>
    </w:lvl>
    <w:lvl w:ilvl="1" w:tplc="E8F46B8C">
      <w:start w:val="1"/>
      <w:numFmt w:val="bullet"/>
      <w:lvlText w:val="○"/>
      <w:lvlJc w:val="left"/>
      <w:pPr>
        <w:ind w:left="1440" w:hanging="360"/>
      </w:pPr>
    </w:lvl>
    <w:lvl w:ilvl="2" w:tplc="3D147188">
      <w:start w:val="1"/>
      <w:numFmt w:val="bullet"/>
      <w:lvlText w:val="■"/>
      <w:lvlJc w:val="left"/>
      <w:pPr>
        <w:ind w:left="2160" w:hanging="360"/>
      </w:pPr>
    </w:lvl>
    <w:lvl w:ilvl="3" w:tplc="E28CA8FC">
      <w:start w:val="1"/>
      <w:numFmt w:val="bullet"/>
      <w:lvlText w:val="●"/>
      <w:lvlJc w:val="left"/>
      <w:pPr>
        <w:ind w:left="2880" w:hanging="360"/>
      </w:pPr>
    </w:lvl>
    <w:lvl w:ilvl="4" w:tplc="6AAA59F0">
      <w:start w:val="1"/>
      <w:numFmt w:val="bullet"/>
      <w:lvlText w:val="○"/>
      <w:lvlJc w:val="left"/>
      <w:pPr>
        <w:ind w:left="3600" w:hanging="360"/>
      </w:pPr>
    </w:lvl>
    <w:lvl w:ilvl="5" w:tplc="9F9C912E">
      <w:start w:val="1"/>
      <w:numFmt w:val="bullet"/>
      <w:lvlText w:val="■"/>
      <w:lvlJc w:val="left"/>
      <w:pPr>
        <w:ind w:left="4320" w:hanging="360"/>
      </w:pPr>
    </w:lvl>
    <w:lvl w:ilvl="6" w:tplc="112867B4">
      <w:start w:val="1"/>
      <w:numFmt w:val="bullet"/>
      <w:lvlText w:val="●"/>
      <w:lvlJc w:val="left"/>
      <w:pPr>
        <w:ind w:left="5040" w:hanging="360"/>
      </w:pPr>
    </w:lvl>
    <w:lvl w:ilvl="7" w:tplc="DA54814A">
      <w:start w:val="1"/>
      <w:numFmt w:val="bullet"/>
      <w:lvlText w:val="●"/>
      <w:lvlJc w:val="left"/>
      <w:pPr>
        <w:ind w:left="5760" w:hanging="360"/>
      </w:pPr>
    </w:lvl>
    <w:lvl w:ilvl="8" w:tplc="8EE8C79A">
      <w:start w:val="1"/>
      <w:numFmt w:val="bullet"/>
      <w:lvlText w:val="●"/>
      <w:lvlJc w:val="left"/>
      <w:pPr>
        <w:ind w:left="6480" w:hanging="360"/>
      </w:pPr>
    </w:lvl>
  </w:abstractNum>
  <w:abstractNum w:abstractNumId="1" w15:restartNumberingAfterBreak="0">
    <w:nsid w:val="507E334D"/>
    <w:multiLevelType w:val="hybridMultilevel"/>
    <w:tmpl w:val="965CE978"/>
    <w:lvl w:ilvl="0" w:tplc="4B5ED120">
      <w:start w:val="1"/>
      <w:numFmt w:val="bullet"/>
      <w:lvlText w:val="•"/>
      <w:lvlJc w:val="left"/>
      <w:pPr>
        <w:ind w:left="360" w:hanging="240"/>
      </w:pPr>
    </w:lvl>
    <w:lvl w:ilvl="1" w:tplc="6D7EFA72">
      <w:numFmt w:val="decimal"/>
      <w:lvlText w:val=""/>
      <w:lvlJc w:val="left"/>
    </w:lvl>
    <w:lvl w:ilvl="2" w:tplc="70947752">
      <w:numFmt w:val="decimal"/>
      <w:lvlText w:val=""/>
      <w:lvlJc w:val="left"/>
    </w:lvl>
    <w:lvl w:ilvl="3" w:tplc="DED29838">
      <w:numFmt w:val="decimal"/>
      <w:lvlText w:val=""/>
      <w:lvlJc w:val="left"/>
    </w:lvl>
    <w:lvl w:ilvl="4" w:tplc="14626630">
      <w:numFmt w:val="decimal"/>
      <w:lvlText w:val=""/>
      <w:lvlJc w:val="left"/>
    </w:lvl>
    <w:lvl w:ilvl="5" w:tplc="CA0EF898">
      <w:numFmt w:val="decimal"/>
      <w:lvlText w:val=""/>
      <w:lvlJc w:val="left"/>
    </w:lvl>
    <w:lvl w:ilvl="6" w:tplc="708C0E1A">
      <w:numFmt w:val="decimal"/>
      <w:lvlText w:val=""/>
      <w:lvlJc w:val="left"/>
    </w:lvl>
    <w:lvl w:ilvl="7" w:tplc="769EE87A">
      <w:numFmt w:val="decimal"/>
      <w:lvlText w:val=""/>
      <w:lvlJc w:val="left"/>
    </w:lvl>
    <w:lvl w:ilvl="8" w:tplc="19C4E3A2">
      <w:numFmt w:val="decimal"/>
      <w:lvlText w:val=""/>
      <w:lvlJc w:val="left"/>
    </w:lvl>
  </w:abstractNum>
  <w:num w:numId="1" w16cid:durableId="1053625212">
    <w:abstractNumId w:val="0"/>
    <w:lvlOverride w:ilvl="0">
      <w:startOverride w:val="1"/>
    </w:lvlOverride>
  </w:num>
  <w:num w:numId="2" w16cid:durableId="913465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C08"/>
    <w:rsid w:val="003F2C08"/>
    <w:rsid w:val="00B64ED2"/>
    <w:rsid w:val="00C05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A923"/>
  <w15:docId w15:val="{AC891636-C1AB-4F08-9184-33157902D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Rathke, Samuel - (srathke)</cp:lastModifiedBy>
  <cp:revision>2</cp:revision>
  <dcterms:created xsi:type="dcterms:W3CDTF">2026-07-10T17:13:00Z</dcterms:created>
  <dcterms:modified xsi:type="dcterms:W3CDTF">2026-07-10T17:46:00Z</dcterms:modified>
</cp:coreProperties>
</file>