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C36C0" w14:textId="77777777" w:rsidR="00E44DE7" w:rsidRDefault="00000000">
      <w:pPr>
        <w:spacing w:after="240"/>
      </w:pPr>
      <w:r>
        <w:rPr>
          <w:b/>
          <w:bCs/>
          <w:sz w:val="28"/>
          <w:szCs w:val="28"/>
        </w:rPr>
        <w:t>Task 2: Regulatory Framework Principle Application</w:t>
      </w:r>
    </w:p>
    <w:p w14:paraId="2D7D1B46" w14:textId="77777777" w:rsidR="00E44DE7" w:rsidRDefault="00000000">
      <w:pPr>
        <w:spacing w:after="120"/>
      </w:pPr>
      <w:r>
        <w:rPr>
          <w:b/>
          <w:bCs/>
        </w:rPr>
        <w:t xml:space="preserve">Context: </w:t>
      </w:r>
      <w:r>
        <w:t>Role = lab manager of a soil science research lab at the University of Arizona. Three NIST AI RMF provisions and three UNESCO principles (chosen for dimensions NIST does not cover) are applied to real lab scenarios. NIST quotes verified against NIST AI 100-1; UNESCO quotes verified against SHS/BIO/PI/2021/1.</w:t>
      </w:r>
    </w:p>
    <w:p w14:paraId="338C16C2" w14:textId="77777777" w:rsidR="00E44DE7" w:rsidRDefault="00000000">
      <w:pPr>
        <w:spacing w:before="240" w:after="120"/>
      </w:pPr>
      <w:r>
        <w:rPr>
          <w:b/>
          <w:bCs/>
          <w:sz w:val="24"/>
          <w:szCs w:val="24"/>
        </w:rPr>
        <w:t>Principle Application Table — 6 rows (3 NIST + 3 UNESCO):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1500"/>
        <w:gridCol w:w="2650"/>
        <w:gridCol w:w="2400"/>
        <w:gridCol w:w="2480"/>
      </w:tblGrid>
      <w:tr w:rsidR="00E44DE7" w14:paraId="6F21CD2D" w14:textId="77777777">
        <w:tblPrEx>
          <w:tblCellMar>
            <w:top w:w="0" w:type="dxa"/>
            <w:bottom w:w="0" w:type="dxa"/>
          </w:tblCellMar>
        </w:tblPrEx>
        <w:trPr>
          <w:tblHeader/>
        </w:trPr>
        <w:tc>
          <w:tcPr>
            <w:tcW w:w="1050" w:type="dxa"/>
            <w:shd w:val="clear" w:color="auto" w:fill="E8E8E8"/>
            <w:tcMar>
              <w:top w:w="60" w:type="dxa"/>
              <w:left w:w="100" w:type="dxa"/>
              <w:bottom w:w="60" w:type="dxa"/>
              <w:right w:w="100" w:type="dxa"/>
            </w:tcMar>
          </w:tcPr>
          <w:p w14:paraId="2051F183" w14:textId="77777777" w:rsidR="00E44DE7" w:rsidRDefault="00000000">
            <w:r>
              <w:rPr>
                <w:b/>
                <w:bCs/>
              </w:rPr>
              <w:t>Source</w:t>
            </w:r>
          </w:p>
        </w:tc>
        <w:tc>
          <w:tcPr>
            <w:tcW w:w="1500" w:type="dxa"/>
            <w:shd w:val="clear" w:color="auto" w:fill="E8E8E8"/>
            <w:tcMar>
              <w:top w:w="60" w:type="dxa"/>
              <w:left w:w="100" w:type="dxa"/>
              <w:bottom w:w="60" w:type="dxa"/>
              <w:right w:w="100" w:type="dxa"/>
            </w:tcMar>
          </w:tcPr>
          <w:p w14:paraId="02AAEAB0" w14:textId="77777777" w:rsidR="00E44DE7" w:rsidRDefault="00000000">
            <w:r>
              <w:rPr>
                <w:b/>
                <w:bCs/>
              </w:rPr>
              <w:t>Principle / Provision</w:t>
            </w:r>
          </w:p>
        </w:tc>
        <w:tc>
          <w:tcPr>
            <w:tcW w:w="2650" w:type="dxa"/>
            <w:shd w:val="clear" w:color="auto" w:fill="E8E8E8"/>
            <w:tcMar>
              <w:top w:w="60" w:type="dxa"/>
              <w:left w:w="100" w:type="dxa"/>
              <w:bottom w:w="60" w:type="dxa"/>
              <w:right w:w="100" w:type="dxa"/>
            </w:tcMar>
          </w:tcPr>
          <w:p w14:paraId="71FA08F9" w14:textId="77777777" w:rsidR="00E44DE7" w:rsidRDefault="00000000">
            <w:r>
              <w:rPr>
                <w:b/>
                <w:bCs/>
              </w:rPr>
              <w:t>Quote (&lt;30 words)</w:t>
            </w:r>
          </w:p>
        </w:tc>
        <w:tc>
          <w:tcPr>
            <w:tcW w:w="2400" w:type="dxa"/>
            <w:shd w:val="clear" w:color="auto" w:fill="E8E8E8"/>
            <w:tcMar>
              <w:top w:w="60" w:type="dxa"/>
              <w:left w:w="100" w:type="dxa"/>
              <w:bottom w:w="60" w:type="dxa"/>
              <w:right w:w="100" w:type="dxa"/>
            </w:tcMar>
          </w:tcPr>
          <w:p w14:paraId="20372AA7" w14:textId="77777777" w:rsidR="00E44DE7" w:rsidRDefault="00000000">
            <w:r>
              <w:rPr>
                <w:b/>
                <w:bCs/>
              </w:rPr>
              <w:t>Institutional scenario</w:t>
            </w:r>
          </w:p>
        </w:tc>
        <w:tc>
          <w:tcPr>
            <w:tcW w:w="2480" w:type="dxa"/>
            <w:shd w:val="clear" w:color="auto" w:fill="E8E8E8"/>
            <w:tcMar>
              <w:top w:w="60" w:type="dxa"/>
              <w:left w:w="100" w:type="dxa"/>
              <w:bottom w:w="60" w:type="dxa"/>
              <w:right w:w="100" w:type="dxa"/>
            </w:tcMar>
          </w:tcPr>
          <w:p w14:paraId="7F6C0C53" w14:textId="77777777" w:rsidR="00E44DE7" w:rsidRDefault="00000000">
            <w:r>
              <w:rPr>
                <w:b/>
                <w:bCs/>
              </w:rPr>
              <w:t>Operational implication for my role</w:t>
            </w:r>
          </w:p>
        </w:tc>
      </w:tr>
      <w:tr w:rsidR="00E44DE7" w14:paraId="100EDC4B" w14:textId="77777777">
        <w:tblPrEx>
          <w:tblCellMar>
            <w:top w:w="0" w:type="dxa"/>
            <w:bottom w:w="0" w:type="dxa"/>
          </w:tblCellMar>
        </w:tblPrEx>
        <w:tc>
          <w:tcPr>
            <w:tcW w:w="1050" w:type="dxa"/>
            <w:tcMar>
              <w:top w:w="60" w:type="dxa"/>
              <w:left w:w="100" w:type="dxa"/>
              <w:bottom w:w="60" w:type="dxa"/>
              <w:right w:w="100" w:type="dxa"/>
            </w:tcMar>
          </w:tcPr>
          <w:p w14:paraId="7EC92F74" w14:textId="77777777" w:rsidR="00E44DE7" w:rsidRDefault="00000000">
            <w:pPr>
              <w:spacing w:after="40"/>
            </w:pPr>
            <w:r>
              <w:t>NIST AI RMF</w:t>
            </w:r>
          </w:p>
        </w:tc>
        <w:tc>
          <w:tcPr>
            <w:tcW w:w="1500" w:type="dxa"/>
            <w:tcMar>
              <w:top w:w="60" w:type="dxa"/>
              <w:left w:w="100" w:type="dxa"/>
              <w:bottom w:w="60" w:type="dxa"/>
              <w:right w:w="100" w:type="dxa"/>
            </w:tcMar>
          </w:tcPr>
          <w:p w14:paraId="072E7BF1" w14:textId="77777777" w:rsidR="00E44DE7" w:rsidRDefault="00000000">
            <w:pPr>
              <w:spacing w:after="40"/>
            </w:pPr>
            <w:r>
              <w:t>GOVERN 2.2 — workforce AI risk training (Table 1, p. 23)</w:t>
            </w:r>
          </w:p>
        </w:tc>
        <w:tc>
          <w:tcPr>
            <w:tcW w:w="2650" w:type="dxa"/>
            <w:tcMar>
              <w:top w:w="60" w:type="dxa"/>
              <w:left w:w="100" w:type="dxa"/>
              <w:bottom w:w="60" w:type="dxa"/>
              <w:right w:w="100" w:type="dxa"/>
            </w:tcMar>
          </w:tcPr>
          <w:p w14:paraId="1D557756" w14:textId="77777777" w:rsidR="00E44DE7" w:rsidRDefault="00000000">
            <w:pPr>
              <w:spacing w:after="40"/>
            </w:pPr>
            <w:r>
              <w:t>“The organization’s personnel and partners receive AI risk management training to enable them to perform their duties and responsibilities consistent with related policies, procedures, and agreements.” (26 words)</w:t>
            </w:r>
          </w:p>
        </w:tc>
        <w:tc>
          <w:tcPr>
            <w:tcW w:w="2400" w:type="dxa"/>
            <w:tcMar>
              <w:top w:w="60" w:type="dxa"/>
              <w:left w:w="100" w:type="dxa"/>
              <w:bottom w:w="60" w:type="dxa"/>
              <w:right w:w="100" w:type="dxa"/>
            </w:tcMar>
          </w:tcPr>
          <w:p w14:paraId="72CFED37" w14:textId="77777777" w:rsidR="00E44DE7" w:rsidRDefault="00000000">
            <w:pPr>
              <w:spacing w:after="40"/>
            </w:pPr>
            <w:r>
              <w:t>Each semester the lab onboards new graduate and undergraduate students who already use ChatGPT or Claude for R code, literature summaries, and drafts — with no shared rules.</w:t>
            </w:r>
          </w:p>
        </w:tc>
        <w:tc>
          <w:tcPr>
            <w:tcW w:w="2480" w:type="dxa"/>
            <w:tcMar>
              <w:top w:w="60" w:type="dxa"/>
              <w:left w:w="100" w:type="dxa"/>
              <w:bottom w:w="60" w:type="dxa"/>
              <w:right w:w="100" w:type="dxa"/>
            </w:tcMar>
          </w:tcPr>
          <w:p w14:paraId="2DCC420E" w14:textId="77777777" w:rsidR="00E44DE7" w:rsidRDefault="00000000">
            <w:pPr>
              <w:spacing w:after="40"/>
            </w:pPr>
            <w:r>
              <w:t>I add an AI module to lab onboarding and the data-management SOP — which tools, which data, what documentation — and every member signs it.</w:t>
            </w:r>
          </w:p>
        </w:tc>
      </w:tr>
      <w:tr w:rsidR="00E44DE7" w14:paraId="14EB191B" w14:textId="77777777">
        <w:tblPrEx>
          <w:tblCellMar>
            <w:top w:w="0" w:type="dxa"/>
            <w:bottom w:w="0" w:type="dxa"/>
          </w:tblCellMar>
        </w:tblPrEx>
        <w:tc>
          <w:tcPr>
            <w:tcW w:w="1050" w:type="dxa"/>
            <w:tcMar>
              <w:top w:w="60" w:type="dxa"/>
              <w:left w:w="100" w:type="dxa"/>
              <w:bottom w:w="60" w:type="dxa"/>
              <w:right w:w="100" w:type="dxa"/>
            </w:tcMar>
          </w:tcPr>
          <w:p w14:paraId="2525EE7B" w14:textId="77777777" w:rsidR="00E44DE7" w:rsidRDefault="00000000">
            <w:pPr>
              <w:spacing w:after="40"/>
            </w:pPr>
            <w:r>
              <w:t>NIST AI RMF</w:t>
            </w:r>
          </w:p>
        </w:tc>
        <w:tc>
          <w:tcPr>
            <w:tcW w:w="1500" w:type="dxa"/>
            <w:tcMar>
              <w:top w:w="60" w:type="dxa"/>
              <w:left w:w="100" w:type="dxa"/>
              <w:bottom w:w="60" w:type="dxa"/>
              <w:right w:w="100" w:type="dxa"/>
            </w:tcMar>
          </w:tcPr>
          <w:p w14:paraId="3B3AB83B" w14:textId="77777777" w:rsidR="00E44DE7" w:rsidRDefault="00000000">
            <w:pPr>
              <w:spacing w:after="40"/>
            </w:pPr>
            <w:r>
              <w:t>MAP 2.3 — scientific integrity and TEVV in context mapping (Table 2, p. 27)</w:t>
            </w:r>
          </w:p>
        </w:tc>
        <w:tc>
          <w:tcPr>
            <w:tcW w:w="2650" w:type="dxa"/>
            <w:tcMar>
              <w:top w:w="60" w:type="dxa"/>
              <w:left w:w="100" w:type="dxa"/>
              <w:bottom w:w="60" w:type="dxa"/>
              <w:right w:w="100" w:type="dxa"/>
            </w:tcMar>
          </w:tcPr>
          <w:p w14:paraId="56BA7737" w14:textId="77777777" w:rsidR="00E44DE7" w:rsidRDefault="00000000">
            <w:pPr>
              <w:spacing w:after="40"/>
            </w:pPr>
            <w:r>
              <w:t>“Scientific integrity and TEVV considerations are identified and documented, including those related to experimental design, data collection and selection (e.g., availability, representativeness, suitability), system trustworthiness, and construct validation.” (28 words)</w:t>
            </w:r>
          </w:p>
        </w:tc>
        <w:tc>
          <w:tcPr>
            <w:tcW w:w="2400" w:type="dxa"/>
            <w:tcMar>
              <w:top w:w="60" w:type="dxa"/>
              <w:left w:w="100" w:type="dxa"/>
              <w:bottom w:w="60" w:type="dxa"/>
              <w:right w:w="100" w:type="dxa"/>
            </w:tcMar>
          </w:tcPr>
          <w:p w14:paraId="4A7C5345" w14:textId="77777777" w:rsidR="00E44DE7" w:rsidRDefault="00000000">
            <w:pPr>
              <w:spacing w:after="40"/>
            </w:pPr>
            <w:r>
              <w:t>We gap-fill and quality-check continuous soil moisture and EC sensor series with automated routines before analysis and publication.</w:t>
            </w:r>
          </w:p>
        </w:tc>
        <w:tc>
          <w:tcPr>
            <w:tcW w:w="2480" w:type="dxa"/>
            <w:tcMar>
              <w:top w:w="60" w:type="dxa"/>
              <w:left w:w="100" w:type="dxa"/>
              <w:bottom w:w="60" w:type="dxa"/>
              <w:right w:w="100" w:type="dxa"/>
            </w:tcMar>
          </w:tcPr>
          <w:p w14:paraId="1E935330" w14:textId="77777777" w:rsidR="00E44DE7" w:rsidRDefault="00000000">
            <w:pPr>
              <w:spacing w:after="40"/>
            </w:pPr>
            <w:r>
              <w:t>I document model choice, training window, and validation against held-out sensor data in each project README, so any figure built on imputed values is traceable.</w:t>
            </w:r>
          </w:p>
        </w:tc>
      </w:tr>
      <w:tr w:rsidR="00E44DE7" w14:paraId="774E4D26" w14:textId="77777777">
        <w:tblPrEx>
          <w:tblCellMar>
            <w:top w:w="0" w:type="dxa"/>
            <w:bottom w:w="0" w:type="dxa"/>
          </w:tblCellMar>
        </w:tblPrEx>
        <w:tc>
          <w:tcPr>
            <w:tcW w:w="1050" w:type="dxa"/>
            <w:tcMar>
              <w:top w:w="60" w:type="dxa"/>
              <w:left w:w="100" w:type="dxa"/>
              <w:bottom w:w="60" w:type="dxa"/>
              <w:right w:w="100" w:type="dxa"/>
            </w:tcMar>
          </w:tcPr>
          <w:p w14:paraId="1A2ECAEC" w14:textId="77777777" w:rsidR="00E44DE7" w:rsidRDefault="00000000">
            <w:pPr>
              <w:spacing w:after="40"/>
            </w:pPr>
            <w:r>
              <w:t>NIST AI RMF</w:t>
            </w:r>
          </w:p>
        </w:tc>
        <w:tc>
          <w:tcPr>
            <w:tcW w:w="1500" w:type="dxa"/>
            <w:tcMar>
              <w:top w:w="60" w:type="dxa"/>
              <w:left w:w="100" w:type="dxa"/>
              <w:bottom w:w="60" w:type="dxa"/>
              <w:right w:w="100" w:type="dxa"/>
            </w:tcMar>
          </w:tcPr>
          <w:p w14:paraId="102B765C" w14:textId="77777777" w:rsidR="00E44DE7" w:rsidRDefault="00000000">
            <w:pPr>
              <w:spacing w:after="40"/>
            </w:pPr>
            <w:r>
              <w:t>GOVERN 6.1 — third-party AI risk (Table 1, p. 24)</w:t>
            </w:r>
          </w:p>
        </w:tc>
        <w:tc>
          <w:tcPr>
            <w:tcW w:w="2650" w:type="dxa"/>
            <w:tcMar>
              <w:top w:w="60" w:type="dxa"/>
              <w:left w:w="100" w:type="dxa"/>
              <w:bottom w:w="60" w:type="dxa"/>
              <w:right w:w="100" w:type="dxa"/>
            </w:tcMar>
          </w:tcPr>
          <w:p w14:paraId="6E686ADB" w14:textId="77777777" w:rsidR="00E44DE7" w:rsidRDefault="00000000">
            <w:pPr>
              <w:spacing w:after="40"/>
            </w:pPr>
            <w:r>
              <w:t>“Policies and procedures are in place that address AI risks associated with third-party entities, including risks of infringement of a third-party’s intellectual property or other rights.” (26 words)</w:t>
            </w:r>
          </w:p>
        </w:tc>
        <w:tc>
          <w:tcPr>
            <w:tcW w:w="2400" w:type="dxa"/>
            <w:tcMar>
              <w:top w:w="60" w:type="dxa"/>
              <w:left w:w="100" w:type="dxa"/>
              <w:bottom w:w="60" w:type="dxa"/>
              <w:right w:w="100" w:type="dxa"/>
            </w:tcMar>
          </w:tcPr>
          <w:p w14:paraId="36D83FAE" w14:textId="77777777" w:rsidR="00E44DE7" w:rsidRDefault="00000000">
            <w:pPr>
              <w:spacing w:after="40"/>
            </w:pPr>
            <w:r>
              <w:t>The lab already runs background research through Perplexity (Gemini 3.1 Thinking) — a third-party tool that is not institutionally approved (Module 3 canvas).</w:t>
            </w:r>
          </w:p>
        </w:tc>
        <w:tc>
          <w:tcPr>
            <w:tcW w:w="2480" w:type="dxa"/>
            <w:tcMar>
              <w:top w:w="60" w:type="dxa"/>
              <w:left w:w="100" w:type="dxa"/>
              <w:bottom w:w="60" w:type="dxa"/>
              <w:right w:w="100" w:type="dxa"/>
            </w:tcMar>
          </w:tcPr>
          <w:p w14:paraId="210FD440" w14:textId="6ECEABA2" w:rsidR="00E44DE7" w:rsidRDefault="00000000">
            <w:pPr>
              <w:spacing w:after="40"/>
            </w:pPr>
            <w:r>
              <w:t>I keep its inputs low-sensitivity.</w:t>
            </w:r>
          </w:p>
        </w:tc>
      </w:tr>
      <w:tr w:rsidR="00E44DE7" w14:paraId="7EFEEC88" w14:textId="77777777">
        <w:tblPrEx>
          <w:tblCellMar>
            <w:top w:w="0" w:type="dxa"/>
            <w:bottom w:w="0" w:type="dxa"/>
          </w:tblCellMar>
        </w:tblPrEx>
        <w:tc>
          <w:tcPr>
            <w:tcW w:w="1050" w:type="dxa"/>
            <w:tcMar>
              <w:top w:w="60" w:type="dxa"/>
              <w:left w:w="100" w:type="dxa"/>
              <w:bottom w:w="60" w:type="dxa"/>
              <w:right w:w="100" w:type="dxa"/>
            </w:tcMar>
          </w:tcPr>
          <w:p w14:paraId="11F2A9F6" w14:textId="77777777" w:rsidR="00E44DE7" w:rsidRDefault="00000000">
            <w:pPr>
              <w:spacing w:after="40"/>
            </w:pPr>
            <w:r>
              <w:t>UNESCO Rec.</w:t>
            </w:r>
          </w:p>
        </w:tc>
        <w:tc>
          <w:tcPr>
            <w:tcW w:w="1500" w:type="dxa"/>
            <w:tcMar>
              <w:top w:w="60" w:type="dxa"/>
              <w:left w:w="100" w:type="dxa"/>
              <w:bottom w:w="60" w:type="dxa"/>
              <w:right w:w="100" w:type="dxa"/>
            </w:tcMar>
          </w:tcPr>
          <w:p w14:paraId="256EFF49" w14:textId="77777777" w:rsidR="00E44DE7" w:rsidRDefault="00000000">
            <w:pPr>
              <w:spacing w:after="40"/>
            </w:pPr>
            <w:r>
              <w:t>Environment and ecosystem flourishing — core value (¶18)</w:t>
            </w:r>
          </w:p>
        </w:tc>
        <w:tc>
          <w:tcPr>
            <w:tcW w:w="2650" w:type="dxa"/>
            <w:tcMar>
              <w:top w:w="60" w:type="dxa"/>
              <w:left w:w="100" w:type="dxa"/>
              <w:bottom w:w="60" w:type="dxa"/>
              <w:right w:w="100" w:type="dxa"/>
            </w:tcMar>
          </w:tcPr>
          <w:p w14:paraId="2E4460D9" w14:textId="77777777" w:rsidR="00E44DE7" w:rsidRDefault="00000000">
            <w:pPr>
              <w:spacing w:after="40"/>
            </w:pPr>
            <w:r>
              <w:t xml:space="preserve">“They should reduce the environmental impact of AI systems, including but not limited to its carbon footprint, to ensure the minimization of climate </w:t>
            </w:r>
            <w:r>
              <w:lastRenderedPageBreak/>
              <w:t>change and environmental risk factors” (28 words)</w:t>
            </w:r>
          </w:p>
        </w:tc>
        <w:tc>
          <w:tcPr>
            <w:tcW w:w="2400" w:type="dxa"/>
            <w:tcMar>
              <w:top w:w="60" w:type="dxa"/>
              <w:left w:w="100" w:type="dxa"/>
              <w:bottom w:w="60" w:type="dxa"/>
              <w:right w:w="100" w:type="dxa"/>
            </w:tcMar>
          </w:tcPr>
          <w:p w14:paraId="104429B2" w14:textId="77777777" w:rsidR="00E44DE7" w:rsidRDefault="00000000">
            <w:pPr>
              <w:spacing w:after="40"/>
            </w:pPr>
            <w:r>
              <w:lastRenderedPageBreak/>
              <w:t>Choosing between a large hosted model and a small local classifier to sort thousands of soil-core and root images.</w:t>
            </w:r>
          </w:p>
        </w:tc>
        <w:tc>
          <w:tcPr>
            <w:tcW w:w="2480" w:type="dxa"/>
            <w:tcMar>
              <w:top w:w="60" w:type="dxa"/>
              <w:left w:w="100" w:type="dxa"/>
              <w:bottom w:w="60" w:type="dxa"/>
              <w:right w:w="100" w:type="dxa"/>
            </w:tcMar>
          </w:tcPr>
          <w:p w14:paraId="2200425F" w14:textId="77777777" w:rsidR="00E44DE7" w:rsidRDefault="00000000">
            <w:pPr>
              <w:spacing w:after="40"/>
            </w:pPr>
            <w:r>
              <w:t>As a lab studying climate–soil interactions, I make energy use a selection criterion and default to the smallest model that meets our accuracy target.</w:t>
            </w:r>
          </w:p>
        </w:tc>
      </w:tr>
      <w:tr w:rsidR="00E44DE7" w14:paraId="3607F734" w14:textId="77777777">
        <w:tblPrEx>
          <w:tblCellMar>
            <w:top w:w="0" w:type="dxa"/>
            <w:bottom w:w="0" w:type="dxa"/>
          </w:tblCellMar>
        </w:tblPrEx>
        <w:tc>
          <w:tcPr>
            <w:tcW w:w="1050" w:type="dxa"/>
            <w:tcMar>
              <w:top w:w="60" w:type="dxa"/>
              <w:left w:w="100" w:type="dxa"/>
              <w:bottom w:w="60" w:type="dxa"/>
              <w:right w:w="100" w:type="dxa"/>
            </w:tcMar>
          </w:tcPr>
          <w:p w14:paraId="14C51C30" w14:textId="77777777" w:rsidR="00E44DE7" w:rsidRDefault="00000000">
            <w:pPr>
              <w:spacing w:after="40"/>
            </w:pPr>
            <w:r>
              <w:t>UNESCO Rec.</w:t>
            </w:r>
          </w:p>
        </w:tc>
        <w:tc>
          <w:tcPr>
            <w:tcW w:w="1500" w:type="dxa"/>
            <w:tcMar>
              <w:top w:w="60" w:type="dxa"/>
              <w:left w:w="100" w:type="dxa"/>
              <w:bottom w:w="60" w:type="dxa"/>
              <w:right w:w="100" w:type="dxa"/>
            </w:tcMar>
          </w:tcPr>
          <w:p w14:paraId="68D71DCC" w14:textId="77777777" w:rsidR="00E44DE7" w:rsidRDefault="00000000">
            <w:pPr>
              <w:spacing w:after="40"/>
            </w:pPr>
            <w:r>
              <w:t>Human oversight and determination (¶36)</w:t>
            </w:r>
          </w:p>
        </w:tc>
        <w:tc>
          <w:tcPr>
            <w:tcW w:w="2650" w:type="dxa"/>
            <w:tcMar>
              <w:top w:w="60" w:type="dxa"/>
              <w:left w:w="100" w:type="dxa"/>
              <w:bottom w:w="60" w:type="dxa"/>
              <w:right w:w="100" w:type="dxa"/>
            </w:tcMar>
          </w:tcPr>
          <w:p w14:paraId="1F9F1C70" w14:textId="77777777" w:rsidR="00E44DE7" w:rsidRDefault="00000000">
            <w:pPr>
              <w:spacing w:after="40"/>
            </w:pPr>
            <w:r>
              <w:t>“humans can resort to AI systems in decision-making and acting, but an AI system can never replace ultimate human responsibility and accountability” (22 words)</w:t>
            </w:r>
          </w:p>
        </w:tc>
        <w:tc>
          <w:tcPr>
            <w:tcW w:w="2400" w:type="dxa"/>
            <w:tcMar>
              <w:top w:w="60" w:type="dxa"/>
              <w:left w:w="100" w:type="dxa"/>
              <w:bottom w:w="60" w:type="dxa"/>
              <w:right w:w="100" w:type="dxa"/>
            </w:tcMar>
          </w:tcPr>
          <w:p w14:paraId="3612BBCC" w14:textId="77777777" w:rsidR="00E44DE7" w:rsidRDefault="00000000">
            <w:pPr>
              <w:spacing w:after="40"/>
            </w:pPr>
            <w:r>
              <w:t>An AI quality-control script auto-flags “anomalous” pH, EC, and microbial biomass measurements for exclusion before statistical analysis.</w:t>
            </w:r>
          </w:p>
        </w:tc>
        <w:tc>
          <w:tcPr>
            <w:tcW w:w="2480" w:type="dxa"/>
            <w:tcMar>
              <w:top w:w="60" w:type="dxa"/>
              <w:left w:w="100" w:type="dxa"/>
              <w:bottom w:w="60" w:type="dxa"/>
              <w:right w:w="100" w:type="dxa"/>
            </w:tcMar>
          </w:tcPr>
          <w:p w14:paraId="07BB430D" w14:textId="77777777" w:rsidR="00E44DE7" w:rsidRDefault="00000000">
            <w:pPr>
              <w:spacing w:after="40"/>
            </w:pPr>
            <w:r>
              <w:t>Flags stay recommendations: a human signs off on every excluded point with a logged reason code — the analyst proposes, the lab manager approves.</w:t>
            </w:r>
          </w:p>
        </w:tc>
      </w:tr>
      <w:tr w:rsidR="00E44DE7" w14:paraId="295725DF" w14:textId="77777777">
        <w:tblPrEx>
          <w:tblCellMar>
            <w:top w:w="0" w:type="dxa"/>
            <w:bottom w:w="0" w:type="dxa"/>
          </w:tblCellMar>
        </w:tblPrEx>
        <w:tc>
          <w:tcPr>
            <w:tcW w:w="1050" w:type="dxa"/>
            <w:tcMar>
              <w:top w:w="60" w:type="dxa"/>
              <w:left w:w="100" w:type="dxa"/>
              <w:bottom w:w="60" w:type="dxa"/>
              <w:right w:w="100" w:type="dxa"/>
            </w:tcMar>
          </w:tcPr>
          <w:p w14:paraId="6AA3698B" w14:textId="77777777" w:rsidR="00E44DE7" w:rsidRDefault="00000000">
            <w:pPr>
              <w:spacing w:after="40"/>
            </w:pPr>
            <w:r>
              <w:t>UNESCO Rec.</w:t>
            </w:r>
          </w:p>
        </w:tc>
        <w:tc>
          <w:tcPr>
            <w:tcW w:w="1500" w:type="dxa"/>
            <w:tcMar>
              <w:top w:w="60" w:type="dxa"/>
              <w:left w:w="100" w:type="dxa"/>
              <w:bottom w:w="60" w:type="dxa"/>
              <w:right w:w="100" w:type="dxa"/>
            </w:tcMar>
          </w:tcPr>
          <w:p w14:paraId="1A14E9AB" w14:textId="77777777" w:rsidR="00E44DE7" w:rsidRDefault="00000000">
            <w:pPr>
              <w:spacing w:after="40"/>
            </w:pPr>
            <w:r>
              <w:t>Research ethics and publications — Policy Area 8 (¶108)</w:t>
            </w:r>
          </w:p>
        </w:tc>
        <w:tc>
          <w:tcPr>
            <w:tcW w:w="2650" w:type="dxa"/>
            <w:tcMar>
              <w:top w:w="60" w:type="dxa"/>
              <w:left w:w="100" w:type="dxa"/>
              <w:bottom w:w="60" w:type="dxa"/>
              <w:right w:w="100" w:type="dxa"/>
            </w:tcMar>
          </w:tcPr>
          <w:p w14:paraId="2F54F560" w14:textId="77777777" w:rsidR="00E44DE7" w:rsidRDefault="00000000">
            <w:pPr>
              <w:spacing w:after="40"/>
            </w:pPr>
            <w:r>
              <w:t>“Member States should ensure that AI researchers are trained in research ethics and require them to include ethical considerations in their designs, products and publications” (25 words)</w:t>
            </w:r>
          </w:p>
        </w:tc>
        <w:tc>
          <w:tcPr>
            <w:tcW w:w="2400" w:type="dxa"/>
            <w:tcMar>
              <w:top w:w="60" w:type="dxa"/>
              <w:left w:w="100" w:type="dxa"/>
              <w:bottom w:w="60" w:type="dxa"/>
              <w:right w:w="100" w:type="dxa"/>
            </w:tcMar>
          </w:tcPr>
          <w:p w14:paraId="69563CD0" w14:textId="77777777" w:rsidR="00E44DE7" w:rsidRDefault="00000000">
            <w:pPr>
              <w:spacing w:after="40"/>
            </w:pPr>
            <w:r>
              <w:t>Lab manuscripts and theses now use AI for code, figures, and editing, and journals require disclosure statements.</w:t>
            </w:r>
          </w:p>
        </w:tc>
        <w:tc>
          <w:tcPr>
            <w:tcW w:w="2480" w:type="dxa"/>
            <w:tcMar>
              <w:top w:w="60" w:type="dxa"/>
              <w:left w:w="100" w:type="dxa"/>
              <w:bottom w:w="60" w:type="dxa"/>
              <w:right w:w="100" w:type="dxa"/>
            </w:tcMar>
          </w:tcPr>
          <w:p w14:paraId="2C67E8B5" w14:textId="77777777" w:rsidR="00E44DE7" w:rsidRDefault="00000000">
            <w:pPr>
              <w:spacing w:after="40"/>
            </w:pPr>
            <w:r>
              <w:t>I add an AI-use disclosure line to our manuscript submission checklist and archive each paper’s AI-use log with its data package.</w:t>
            </w:r>
          </w:p>
        </w:tc>
      </w:tr>
    </w:tbl>
    <w:p w14:paraId="0F54A5BF" w14:textId="77777777" w:rsidR="00E44DE7" w:rsidRDefault="00000000">
      <w:pPr>
        <w:spacing w:before="240" w:after="120"/>
      </w:pPr>
      <w:r>
        <w:rPr>
          <w:b/>
          <w:bCs/>
          <w:sz w:val="24"/>
          <w:szCs w:val="24"/>
        </w:rPr>
        <w:t>Which framework is more immediately actionable for my role? (3 sentences)</w:t>
      </w:r>
    </w:p>
    <w:p w14:paraId="3D6739AC" w14:textId="77777777" w:rsidR="00E44DE7" w:rsidRDefault="00000000">
      <w:pPr>
        <w:pBdr>
          <w:left w:val="single" w:sz="12" w:space="12" w:color="BFBFBF"/>
        </w:pBdr>
        <w:spacing w:after="160"/>
        <w:ind w:left="720"/>
      </w:pPr>
      <w:r>
        <w:t>NIST is more immediately actionable for a lab manager: its GOVERN and MAP subcategories translate directly into the SOPs, onboarding checklists, and documentation I already maintain. UNESCO supplies what those SOPs are ultimately for — dignity, environment, equity — and obligations NIST omits, such as carbon footprint and ultimate human responsibility. In practice, I draft with NIST and justify with UNESCO.</w:t>
      </w:r>
    </w:p>
    <w:sectPr w:rsidR="00E44DE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2107"/>
    <w:multiLevelType w:val="hybridMultilevel"/>
    <w:tmpl w:val="CF0A64A0"/>
    <w:lvl w:ilvl="0" w:tplc="ACF01B76">
      <w:start w:val="1"/>
      <w:numFmt w:val="bullet"/>
      <w:lvlText w:val="●"/>
      <w:lvlJc w:val="left"/>
      <w:pPr>
        <w:ind w:left="720" w:hanging="360"/>
      </w:pPr>
    </w:lvl>
    <w:lvl w:ilvl="1" w:tplc="E4842E20">
      <w:start w:val="1"/>
      <w:numFmt w:val="bullet"/>
      <w:lvlText w:val="○"/>
      <w:lvlJc w:val="left"/>
      <w:pPr>
        <w:ind w:left="1440" w:hanging="360"/>
      </w:pPr>
    </w:lvl>
    <w:lvl w:ilvl="2" w:tplc="EDF0C5F2">
      <w:start w:val="1"/>
      <w:numFmt w:val="bullet"/>
      <w:lvlText w:val="■"/>
      <w:lvlJc w:val="left"/>
      <w:pPr>
        <w:ind w:left="2160" w:hanging="360"/>
      </w:pPr>
    </w:lvl>
    <w:lvl w:ilvl="3" w:tplc="5C4E8404">
      <w:start w:val="1"/>
      <w:numFmt w:val="bullet"/>
      <w:lvlText w:val="●"/>
      <w:lvlJc w:val="left"/>
      <w:pPr>
        <w:ind w:left="2880" w:hanging="360"/>
      </w:pPr>
    </w:lvl>
    <w:lvl w:ilvl="4" w:tplc="118469CA">
      <w:start w:val="1"/>
      <w:numFmt w:val="bullet"/>
      <w:lvlText w:val="○"/>
      <w:lvlJc w:val="left"/>
      <w:pPr>
        <w:ind w:left="3600" w:hanging="360"/>
      </w:pPr>
    </w:lvl>
    <w:lvl w:ilvl="5" w:tplc="D994A8F2">
      <w:start w:val="1"/>
      <w:numFmt w:val="bullet"/>
      <w:lvlText w:val="■"/>
      <w:lvlJc w:val="left"/>
      <w:pPr>
        <w:ind w:left="4320" w:hanging="360"/>
      </w:pPr>
    </w:lvl>
    <w:lvl w:ilvl="6" w:tplc="F6721BDA">
      <w:start w:val="1"/>
      <w:numFmt w:val="bullet"/>
      <w:lvlText w:val="●"/>
      <w:lvlJc w:val="left"/>
      <w:pPr>
        <w:ind w:left="5040" w:hanging="360"/>
      </w:pPr>
    </w:lvl>
    <w:lvl w:ilvl="7" w:tplc="FF82A232">
      <w:start w:val="1"/>
      <w:numFmt w:val="bullet"/>
      <w:lvlText w:val="●"/>
      <w:lvlJc w:val="left"/>
      <w:pPr>
        <w:ind w:left="5760" w:hanging="360"/>
      </w:pPr>
    </w:lvl>
    <w:lvl w:ilvl="8" w:tplc="DA907188">
      <w:start w:val="1"/>
      <w:numFmt w:val="bullet"/>
      <w:lvlText w:val="●"/>
      <w:lvlJc w:val="left"/>
      <w:pPr>
        <w:ind w:left="6480" w:hanging="360"/>
      </w:pPr>
    </w:lvl>
  </w:abstractNum>
  <w:abstractNum w:abstractNumId="1" w15:restartNumberingAfterBreak="0">
    <w:nsid w:val="0F3E68F7"/>
    <w:multiLevelType w:val="hybridMultilevel"/>
    <w:tmpl w:val="5114DC20"/>
    <w:lvl w:ilvl="0" w:tplc="59C438DE">
      <w:start w:val="1"/>
      <w:numFmt w:val="bullet"/>
      <w:lvlText w:val="•"/>
      <w:lvlJc w:val="left"/>
      <w:pPr>
        <w:ind w:left="360" w:hanging="240"/>
      </w:pPr>
    </w:lvl>
    <w:lvl w:ilvl="1" w:tplc="EA44C6C4">
      <w:numFmt w:val="decimal"/>
      <w:lvlText w:val=""/>
      <w:lvlJc w:val="left"/>
    </w:lvl>
    <w:lvl w:ilvl="2" w:tplc="003687D6">
      <w:numFmt w:val="decimal"/>
      <w:lvlText w:val=""/>
      <w:lvlJc w:val="left"/>
    </w:lvl>
    <w:lvl w:ilvl="3" w:tplc="A6A44B5A">
      <w:numFmt w:val="decimal"/>
      <w:lvlText w:val=""/>
      <w:lvlJc w:val="left"/>
    </w:lvl>
    <w:lvl w:ilvl="4" w:tplc="50380130">
      <w:numFmt w:val="decimal"/>
      <w:lvlText w:val=""/>
      <w:lvlJc w:val="left"/>
    </w:lvl>
    <w:lvl w:ilvl="5" w:tplc="008A1706">
      <w:numFmt w:val="decimal"/>
      <w:lvlText w:val=""/>
      <w:lvlJc w:val="left"/>
    </w:lvl>
    <w:lvl w:ilvl="6" w:tplc="C9D8E4BC">
      <w:numFmt w:val="decimal"/>
      <w:lvlText w:val=""/>
      <w:lvlJc w:val="left"/>
    </w:lvl>
    <w:lvl w:ilvl="7" w:tplc="C358A7CC">
      <w:numFmt w:val="decimal"/>
      <w:lvlText w:val=""/>
      <w:lvlJc w:val="left"/>
    </w:lvl>
    <w:lvl w:ilvl="8" w:tplc="B8AC0C74">
      <w:numFmt w:val="decimal"/>
      <w:lvlText w:val=""/>
      <w:lvlJc w:val="left"/>
    </w:lvl>
  </w:abstractNum>
  <w:num w:numId="1" w16cid:durableId="8221162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4DE7"/>
    <w:rsid w:val="000332F7"/>
    <w:rsid w:val="00E44DE7"/>
    <w:rsid w:val="00F80F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E36F0"/>
  <w15:docId w15:val="{E1B13C20-3C5B-4E61-B6B2-17C9621FA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2</Pages>
  <Words>651</Words>
  <Characters>3611</Characters>
  <Application>Microsoft Office Word</Application>
  <DocSecurity>0</DocSecurity>
  <Lines>69</Lines>
  <Paragraphs>43</Paragraphs>
  <ScaleCrop>false</ScaleCrop>
  <Company/>
  <LinksUpToDate>false</LinksUpToDate>
  <CharactersWithSpaces>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Rathke, Samuel - (srathke)</cp:lastModifiedBy>
  <cp:revision>2</cp:revision>
  <dcterms:created xsi:type="dcterms:W3CDTF">2026-07-10T17:24:00Z</dcterms:created>
  <dcterms:modified xsi:type="dcterms:W3CDTF">2026-07-10T20:33:00Z</dcterms:modified>
</cp:coreProperties>
</file>