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2F2DE" w14:textId="77777777" w:rsidR="00BB3BED" w:rsidRDefault="00000000">
      <w:pPr>
        <w:spacing w:after="240"/>
      </w:pPr>
      <w:r>
        <w:rPr>
          <w:b/>
          <w:bCs/>
          <w:sz w:val="28"/>
          <w:szCs w:val="28"/>
        </w:rPr>
        <w:t>Task 3: AI Policy Position Paper — 300 Words</w:t>
      </w:r>
    </w:p>
    <w:p w14:paraId="18CBEFEA" w14:textId="77777777" w:rsidR="00BB3BED" w:rsidRDefault="00000000">
      <w:pPr>
        <w:spacing w:before="240" w:after="120"/>
      </w:pPr>
      <w:r>
        <w:rPr>
          <w:b/>
          <w:bCs/>
          <w:sz w:val="24"/>
          <w:szCs w:val="24"/>
        </w:rPr>
        <w:t>Policy question selected:</w:t>
      </w:r>
    </w:p>
    <w:p w14:paraId="62BF9F80" w14:textId="77777777" w:rsidR="00BB3BED" w:rsidRDefault="00000000">
      <w:pPr>
        <w:pBdr>
          <w:left w:val="single" w:sz="12" w:space="12" w:color="BFBFBF"/>
        </w:pBdr>
        <w:spacing w:after="160"/>
        <w:ind w:left="720"/>
      </w:pPr>
      <w:r>
        <w:t>(B) Should AI-generated text be eligible for listed authorship credit in scholarly publications?</w:t>
      </w:r>
    </w:p>
    <w:p w14:paraId="6C56D3E1" w14:textId="77777777" w:rsidR="00BB3BED" w:rsidRDefault="00000000">
      <w:pPr>
        <w:spacing w:before="240" w:after="120"/>
      </w:pPr>
      <w:r>
        <w:rPr>
          <w:b/>
          <w:bCs/>
          <w:sz w:val="24"/>
          <w:szCs w:val="24"/>
        </w:rPr>
        <w:t>Structured outline (completed before drafting prose):</w:t>
      </w:r>
    </w:p>
    <w:p w14:paraId="5A0B4B88" w14:textId="77777777" w:rsidR="00BB3BED" w:rsidRDefault="00000000">
      <w:pPr>
        <w:spacing w:after="120"/>
      </w:pPr>
      <w:r>
        <w:rPr>
          <w:b/>
          <w:bCs/>
        </w:rPr>
        <w:t xml:space="preserve">OPENING SENTENCE — position (falsifiable claim): </w:t>
      </w:r>
    </w:p>
    <w:p w14:paraId="7E5D96B7" w14:textId="77777777" w:rsidR="00BB3BED" w:rsidRDefault="00000000">
      <w:pPr>
        <w:pBdr>
          <w:left w:val="single" w:sz="12" w:space="12" w:color="BFBFBF"/>
        </w:pBdr>
        <w:spacing w:after="160"/>
        <w:ind w:left="720"/>
      </w:pPr>
      <w:r>
        <w:t>AI systems should not be eligible for listed authorship on scholarly publications, because authorship is a warrant of accountability that no AI tool can give.</w:t>
      </w:r>
    </w:p>
    <w:p w14:paraId="676BE36A" w14:textId="77777777" w:rsidR="00BB3BED" w:rsidRDefault="00000000">
      <w:pPr>
        <w:spacing w:after="120"/>
      </w:pPr>
      <w:r>
        <w:rPr>
          <w:b/>
          <w:bCs/>
        </w:rPr>
        <w:t xml:space="preserve">EVIDENCE BLOCK 1 — workshop reading: </w:t>
      </w:r>
    </w:p>
    <w:p w14:paraId="310039F1" w14:textId="54DC502E" w:rsidR="00BB3BED" w:rsidRDefault="00000000">
      <w:pPr>
        <w:pBdr>
          <w:left w:val="single" w:sz="12" w:space="12" w:color="BFBFBF"/>
        </w:pBdr>
        <w:spacing w:after="160"/>
        <w:ind w:left="720"/>
      </w:pPr>
      <w:r>
        <w:t xml:space="preserve">UNESCO Recommendation (2022): responsibility can never transfer to an AI </w:t>
      </w:r>
      <w:r w:rsidR="008067A1">
        <w:t>system and</w:t>
      </w:r>
      <w:r>
        <w:t xml:space="preserve"> must</w:t>
      </w:r>
      <w:r w:rsidR="004E5B07">
        <w:t xml:space="preserve"> </w:t>
      </w:r>
      <w:r>
        <w:t>“always ultimately be attributable to AI actors” and authorship is science’s mechanism for attributing exactly that responsibility.</w:t>
      </w:r>
    </w:p>
    <w:p w14:paraId="70BBA39F" w14:textId="77777777" w:rsidR="00BB3BED" w:rsidRDefault="00000000">
      <w:pPr>
        <w:spacing w:after="120"/>
      </w:pPr>
      <w:r>
        <w:rPr>
          <w:b/>
          <w:bCs/>
        </w:rPr>
        <w:t xml:space="preserve">EVIDENCE BLOCK 2 — second source, different type (publisher policy): </w:t>
      </w:r>
    </w:p>
    <w:p w14:paraId="6980F921" w14:textId="77777777" w:rsidR="00BB3BED" w:rsidRDefault="00000000">
      <w:pPr>
        <w:pBdr>
          <w:left w:val="single" w:sz="12" w:space="12" w:color="BFBFBF"/>
        </w:pBdr>
        <w:spacing w:after="160"/>
        <w:ind w:left="720"/>
      </w:pPr>
      <w:r>
        <w:t>COPE position statement: “AI tools cannot be listed as an author of a paper” — they “cannot take responsibility for the submitted work”; ICMJE Recommendations (updated January 2026): AI tools “cannot be responsible for the accuracy, integrity, and originality of the work.”</w:t>
      </w:r>
    </w:p>
    <w:p w14:paraId="13E25643" w14:textId="77777777" w:rsidR="00BB3BED" w:rsidRDefault="00000000">
      <w:pPr>
        <w:spacing w:after="120"/>
      </w:pPr>
      <w:r>
        <w:rPr>
          <w:b/>
          <w:bCs/>
        </w:rPr>
        <w:t xml:space="preserve">STRONGEST COUNTERARGUMENT (steel-manned): </w:t>
      </w:r>
    </w:p>
    <w:p w14:paraId="6D13F1B3" w14:textId="77777777" w:rsidR="00BB3BED" w:rsidRDefault="00000000">
      <w:pPr>
        <w:pBdr>
          <w:left w:val="single" w:sz="12" w:space="12" w:color="BFBFBF"/>
        </w:pBdr>
        <w:spacing w:after="160"/>
        <w:ind w:left="720"/>
      </w:pPr>
      <w:r>
        <w:t>Authorship should track intellectual contribution, not legal personhood; when a model materially generates the analysis, a byline is more honest than a buried acknowledgment — and human authorship already tolerates accountability gaps (honorary, deceased, and consortium authors).</w:t>
      </w:r>
    </w:p>
    <w:p w14:paraId="312C440F" w14:textId="77777777" w:rsidR="00BB3BED" w:rsidRDefault="00000000">
      <w:pPr>
        <w:spacing w:after="120"/>
      </w:pPr>
      <w:r>
        <w:rPr>
          <w:b/>
          <w:bCs/>
        </w:rPr>
        <w:t xml:space="preserve">REBUTTAL: </w:t>
      </w:r>
    </w:p>
    <w:p w14:paraId="0A3BB9CF" w14:textId="77777777" w:rsidR="00BB3BED" w:rsidRDefault="00000000">
      <w:pPr>
        <w:pBdr>
          <w:left w:val="single" w:sz="12" w:space="12" w:color="BFBFBF"/>
        </w:pBdr>
        <w:spacing w:after="160"/>
        <w:ind w:left="720"/>
      </w:pPr>
      <w:r>
        <w:t>Those gaps are enforcement failures of a sound standard, not evidence against it; disclosure in methods sections delivers the transparency benefit without severing responsibility, which holds however large the AI contribution grows (scope condition).</w:t>
      </w:r>
    </w:p>
    <w:p w14:paraId="3054032E" w14:textId="77777777" w:rsidR="00BB3BED" w:rsidRDefault="00000000">
      <w:pPr>
        <w:spacing w:after="120"/>
      </w:pPr>
      <w:r>
        <w:rPr>
          <w:b/>
          <w:bCs/>
        </w:rPr>
        <w:t xml:space="preserve">CLOSING SENTENCE: </w:t>
      </w:r>
    </w:p>
    <w:p w14:paraId="220AD268" w14:textId="5BD816FB" w:rsidR="00BB3BED" w:rsidRDefault="00000000">
      <w:pPr>
        <w:pBdr>
          <w:left w:val="single" w:sz="12" w:space="12" w:color="BFBFBF"/>
        </w:pBdr>
        <w:spacing w:after="160"/>
        <w:ind w:left="720"/>
      </w:pPr>
      <w:r>
        <w:t>Because a byline is a promise about who answers for the work, AI contributions belong in the methods section</w:t>
      </w:r>
      <w:r w:rsidR="004E5B07">
        <w:t>,</w:t>
      </w:r>
      <w:r>
        <w:t xml:space="preserve"> never the author list.</w:t>
      </w:r>
    </w:p>
    <w:p w14:paraId="14369954" w14:textId="2267BF26" w:rsidR="00BB3BED" w:rsidRDefault="00000000">
      <w:pPr>
        <w:spacing w:before="240" w:after="120"/>
      </w:pPr>
      <w:r>
        <w:rPr>
          <w:b/>
          <w:bCs/>
          <w:sz w:val="24"/>
          <w:szCs w:val="24"/>
        </w:rPr>
        <w:t>Final position paper</w:t>
      </w:r>
      <w:r w:rsidR="009B3A1D">
        <w:rPr>
          <w:b/>
          <w:bCs/>
          <w:sz w:val="24"/>
          <w:szCs w:val="24"/>
        </w:rPr>
        <w:t>:</w:t>
      </w:r>
    </w:p>
    <w:p w14:paraId="60D50C50" w14:textId="61B28D45" w:rsidR="00BB3BED" w:rsidRDefault="00000000" w:rsidP="004E5B07">
      <w:pPr>
        <w:spacing w:after="120"/>
      </w:pPr>
      <w:r>
        <w:t>AI systems should not be eligible for listed authorship on scholarly publications, because authorship is a warrant of accountability that no AI tool can give. The UNESCO Recommendation on the Ethics of AI</w:t>
      </w:r>
      <w:r w:rsidR="004E5B07">
        <w:t>,</w:t>
      </w:r>
      <w:r>
        <w:t xml:space="preserve"> adopted unanimously by 193 member states — is explicit that “an AI system can never replace ultimate human responsibility and accountability” and that responsibility for AI-based outputs must “always ultimately be attributable to AI actors”. Authorship is precisely how science attributes that responsibility. Publisher policy has converged on the same conclusion: COPE holds that “AI tools cannot be listed as an author of a paper” because they “cannot take responsibility for the submitted work,” and ICMJE (updated January 2026) adds that they “cannot be responsible for the accuracy, integrity, and originality of the work, and these responsibilities are required for authorship.” The strongest counterargument deserves stating plainly: authorship should track intellectual contribution, not legal personhood. When a model materially generates the analysis or argument, a byline is more honest than a buried acknowledgment — and human authorship already tolerates accountability gaps: honorary authors, deceased authors, and hundred-member consortia in which no individual can vouch for the whole. But those gaps are enforcement failures of a sound standard, not evidence against it. The remedy is </w:t>
      </w:r>
      <w:r>
        <w:lastRenderedPageBreak/>
        <w:t xml:space="preserve">stricter </w:t>
      </w:r>
      <w:proofErr w:type="spellStart"/>
      <w:r>
        <w:t>contributorship</w:t>
      </w:r>
      <w:proofErr w:type="spellEnd"/>
      <w:r>
        <w:t xml:space="preserve"> statements, not extending the byline to entities that cannot approve a final version, respond to challenges, or be sanctioned even in principle</w:t>
      </w:r>
      <w:r w:rsidR="004E5B07">
        <w:t>,</w:t>
      </w:r>
      <w:r>
        <w:t xml:space="preserve"> </w:t>
      </w:r>
      <w:r w:rsidR="004E5B07">
        <w:t>h</w:t>
      </w:r>
      <w:r>
        <w:t>owever large their contribution grows. Mandatory methods-level disclosure captures the transparency the counterargument seeks without severing responsibility from the work; NIST makes the same coupling foundational: “Trustworthy AI depends upon accountability” Because a byline is a promise about who answers for the work, AI contributions belong in the methods section never the author list.</w:t>
      </w:r>
    </w:p>
    <w:sectPr w:rsidR="00BB3BE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9441D"/>
    <w:multiLevelType w:val="hybridMultilevel"/>
    <w:tmpl w:val="77D6C4FE"/>
    <w:lvl w:ilvl="0" w:tplc="D160E80A">
      <w:start w:val="1"/>
      <w:numFmt w:val="bullet"/>
      <w:lvlText w:val="●"/>
      <w:lvlJc w:val="left"/>
      <w:pPr>
        <w:ind w:left="720" w:hanging="360"/>
      </w:pPr>
    </w:lvl>
    <w:lvl w:ilvl="1" w:tplc="6EBC9222">
      <w:start w:val="1"/>
      <w:numFmt w:val="bullet"/>
      <w:lvlText w:val="○"/>
      <w:lvlJc w:val="left"/>
      <w:pPr>
        <w:ind w:left="1440" w:hanging="360"/>
      </w:pPr>
    </w:lvl>
    <w:lvl w:ilvl="2" w:tplc="A68E0544">
      <w:start w:val="1"/>
      <w:numFmt w:val="bullet"/>
      <w:lvlText w:val="■"/>
      <w:lvlJc w:val="left"/>
      <w:pPr>
        <w:ind w:left="2160" w:hanging="360"/>
      </w:pPr>
    </w:lvl>
    <w:lvl w:ilvl="3" w:tplc="44A6EFDE">
      <w:start w:val="1"/>
      <w:numFmt w:val="bullet"/>
      <w:lvlText w:val="●"/>
      <w:lvlJc w:val="left"/>
      <w:pPr>
        <w:ind w:left="2880" w:hanging="360"/>
      </w:pPr>
    </w:lvl>
    <w:lvl w:ilvl="4" w:tplc="C92AE876">
      <w:start w:val="1"/>
      <w:numFmt w:val="bullet"/>
      <w:lvlText w:val="○"/>
      <w:lvlJc w:val="left"/>
      <w:pPr>
        <w:ind w:left="3600" w:hanging="360"/>
      </w:pPr>
    </w:lvl>
    <w:lvl w:ilvl="5" w:tplc="A858A8B2">
      <w:start w:val="1"/>
      <w:numFmt w:val="bullet"/>
      <w:lvlText w:val="■"/>
      <w:lvlJc w:val="left"/>
      <w:pPr>
        <w:ind w:left="4320" w:hanging="360"/>
      </w:pPr>
    </w:lvl>
    <w:lvl w:ilvl="6" w:tplc="4ABC7148">
      <w:start w:val="1"/>
      <w:numFmt w:val="bullet"/>
      <w:lvlText w:val="●"/>
      <w:lvlJc w:val="left"/>
      <w:pPr>
        <w:ind w:left="5040" w:hanging="360"/>
      </w:pPr>
    </w:lvl>
    <w:lvl w:ilvl="7" w:tplc="61C64E7A">
      <w:start w:val="1"/>
      <w:numFmt w:val="bullet"/>
      <w:lvlText w:val="●"/>
      <w:lvlJc w:val="left"/>
      <w:pPr>
        <w:ind w:left="5760" w:hanging="360"/>
      </w:pPr>
    </w:lvl>
    <w:lvl w:ilvl="8" w:tplc="290E468E">
      <w:start w:val="1"/>
      <w:numFmt w:val="bullet"/>
      <w:lvlText w:val="●"/>
      <w:lvlJc w:val="left"/>
      <w:pPr>
        <w:ind w:left="6480" w:hanging="360"/>
      </w:pPr>
    </w:lvl>
  </w:abstractNum>
  <w:abstractNum w:abstractNumId="1" w15:restartNumberingAfterBreak="0">
    <w:nsid w:val="32952DE7"/>
    <w:multiLevelType w:val="hybridMultilevel"/>
    <w:tmpl w:val="468279D8"/>
    <w:lvl w:ilvl="0" w:tplc="F6AE0940">
      <w:start w:val="1"/>
      <w:numFmt w:val="bullet"/>
      <w:lvlText w:val="•"/>
      <w:lvlJc w:val="left"/>
      <w:pPr>
        <w:ind w:left="360" w:hanging="240"/>
      </w:pPr>
    </w:lvl>
    <w:lvl w:ilvl="1" w:tplc="28268692">
      <w:numFmt w:val="decimal"/>
      <w:lvlText w:val=""/>
      <w:lvlJc w:val="left"/>
    </w:lvl>
    <w:lvl w:ilvl="2" w:tplc="2ADEE9C8">
      <w:numFmt w:val="decimal"/>
      <w:lvlText w:val=""/>
      <w:lvlJc w:val="left"/>
    </w:lvl>
    <w:lvl w:ilvl="3" w:tplc="19F06A56">
      <w:numFmt w:val="decimal"/>
      <w:lvlText w:val=""/>
      <w:lvlJc w:val="left"/>
    </w:lvl>
    <w:lvl w:ilvl="4" w:tplc="02A0174C">
      <w:numFmt w:val="decimal"/>
      <w:lvlText w:val=""/>
      <w:lvlJc w:val="left"/>
    </w:lvl>
    <w:lvl w:ilvl="5" w:tplc="0CF2ED14">
      <w:numFmt w:val="decimal"/>
      <w:lvlText w:val=""/>
      <w:lvlJc w:val="left"/>
    </w:lvl>
    <w:lvl w:ilvl="6" w:tplc="AC745ADE">
      <w:numFmt w:val="decimal"/>
      <w:lvlText w:val=""/>
      <w:lvlJc w:val="left"/>
    </w:lvl>
    <w:lvl w:ilvl="7" w:tplc="6A22F59A">
      <w:numFmt w:val="decimal"/>
      <w:lvlText w:val=""/>
      <w:lvlJc w:val="left"/>
    </w:lvl>
    <w:lvl w:ilvl="8" w:tplc="BEA661CC">
      <w:numFmt w:val="decimal"/>
      <w:lvlText w:val=""/>
      <w:lvlJc w:val="left"/>
    </w:lvl>
  </w:abstractNum>
  <w:num w:numId="1" w16cid:durableId="21431076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BED"/>
    <w:rsid w:val="004E5B07"/>
    <w:rsid w:val="008067A1"/>
    <w:rsid w:val="009B3A1D"/>
    <w:rsid w:val="00BB3BED"/>
    <w:rsid w:val="00C00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15697"/>
  <w15:docId w15:val="{F314BE37-2150-44A4-AF04-C9579AC57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562</Words>
  <Characters>3204</Characters>
  <Application>Microsoft Office Word</Application>
  <DocSecurity>0</DocSecurity>
  <Lines>26</Lines>
  <Paragraphs>7</Paragraphs>
  <ScaleCrop>false</ScaleCrop>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Rathke, Samuel - (srathke)</cp:lastModifiedBy>
  <cp:revision>4</cp:revision>
  <dcterms:created xsi:type="dcterms:W3CDTF">2026-07-10T17:11:00Z</dcterms:created>
  <dcterms:modified xsi:type="dcterms:W3CDTF">2026-07-10T20:36:00Z</dcterms:modified>
</cp:coreProperties>
</file>