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SmartBancs App — Documento Técnico</w:t>
      </w:r>
    </w:p>
    <w:p>
      <w:pPr/>
      <w:r>
        <w:t xml:space="preserve">Sep 22, 2026</w:t>
      </w:r>
      <w:r>
        <w:t xml:space="preserve"> · </w:t>
      </w:r>
      <w:r>
        <w:t xml:space="preserve">@Someone</w:t>
      </w:r>
    </w:p>
    <w:p>
      <w:pPr/>
      <w:r>
        <w:t xml:space="preserve">Reto técnico NextGen Engineers. MVP funcional: microservicio Java/Spring Boot para transacciones, PostgreSQL, mock de IA asíncrono, observabilidad básica.</w:t>
      </w:r>
    </w:p>
    <w:p>
      <w:pPr>
        <w:pStyle w:val="Heading2"/>
      </w:pPr>
      <w:r>
        <w:t xml:space="preserve">Índice</w:t>
      </w:r>
    </w:p>
    <w:p>
      <w:pPr>
        <w:pStyle w:val="ListParagraph"/>
        <w:numPr>
          <w:ilvl w:val="0"/>
          <w:numId w:val="2"/>
        </w:numPr>
      </w:pPr>
      <w:r>
        <w:t xml:space="preserve">Arquitectura y decisiones técnicas</w:t>
      </w:r>
    </w:p>
    <w:p>
      <w:pPr>
        <w:pStyle w:val="ListParagraph"/>
        <w:numPr>
          <w:ilvl w:val="0"/>
          <w:numId w:val="2"/>
        </w:numPr>
      </w:pPr>
      <w:r>
        <w:t xml:space="preserve">Integración con Bancs (core legado)</w:t>
      </w:r>
    </w:p>
    <w:p>
      <w:pPr>
        <w:pStyle w:val="ListParagraph"/>
        <w:numPr>
          <w:ilvl w:val="0"/>
          <w:numId w:val="2"/>
        </w:numPr>
      </w:pPr>
      <w:r>
        <w:t xml:space="preserve">Inteligencia Artificial</w:t>
      </w:r>
    </w:p>
    <w:p>
      <w:pPr>
        <w:pStyle w:val="ListParagraph"/>
        <w:numPr>
          <w:ilvl w:val="0"/>
          <w:numId w:val="2"/>
        </w:numPr>
      </w:pPr>
      <w:r>
        <w:t xml:space="preserve">Observabilidad</w:t>
      </w:r>
    </w:p>
    <w:p>
      <w:pPr>
        <w:pStyle w:val="ListParagraph"/>
        <w:numPr>
          <w:ilvl w:val="0"/>
          <w:numId w:val="2"/>
        </w:numPr>
      </w:pPr>
      <w:r>
        <w:t xml:space="preserve">Incidente crítico simulado</w:t>
      </w:r>
    </w:p>
    <w:p>
      <w:pPr>
        <w:pStyle w:val="ListParagraph"/>
        <w:numPr>
          <w:ilvl w:val="0"/>
          <w:numId w:val="2"/>
        </w:numPr>
      </w:pPr>
      <w:r>
        <w:t xml:space="preserve">Gestión de incidentes: post mortem</w:t>
      </w:r>
    </w:p>
    <w:p>
      <w:pPr>
        <w:pStyle w:val="ListParagraph"/>
        <w:numPr>
          <w:ilvl w:val="0"/>
          <w:numId w:val="2"/>
        </w:numPr>
      </w:pPr>
      <w:r>
        <w:t xml:space="preserve">Seguridad transversal</w:t>
      </w:r>
    </w:p>
    <w:p>
      <w:pPr>
        <w:pStyle w:val="Heading2"/>
      </w:pPr>
      <w:r>
        <w:t xml:space="preserve">1. Arquitectura y decisiones técnicas</w:t>
      </w:r>
    </w:p>
    <w:p>
      <w:pPr>
        <w:pStyle w:val="Heading3"/>
      </w:pPr>
      <w:r>
        <w:t xml:space="preserve">1.1 Diagrama de flujo</w:t>
      </w:r>
    </w:p>
    <w:p>
      <w:pPr>
        <w:pStyle w:val="Code"/>
      </w:pPr>
      <w:bookmarkStart w:id="1" w:name="bongo_lang_mermaid_1"/>
      <w:bookmarkEnd w:id="1"/>
      <w:r>
        <w:t xml:space="preserve">flowchart LR</w:t>
        <w:br/>
        <w:t xml:space="preserve">    Client[Cliente/App] --&gt;|POST /api/transactions| API[transactions-service\nSpring Boot]</w:t>
        <w:br/>
        <w:t xml:space="preserve">    API --&gt;|SELECT FOR UPDATE| DB[(PostgreSQL)]</w:t>
        <w:br/>
        <w:t xml:space="preserve">    API --&gt;|"@Async (no bloqueante)"| AI[AI Recommendation\nService - mock]</w:t>
        <w:br/>
        <w:t xml:space="preserve">    API -.-&gt;|outbox / cola\nfuera del hot path| Bancs[(Core Legado\nBancs)]</w:t>
        <w:br/>
        <w:t xml:space="preserve">    DB --&gt; ETL[ETL batch\nPython/pandas]</w:t>
        <w:br/>
        <w:t xml:space="preserve">    ETL --&gt;|datos limpios| AI</w:t>
      </w:r>
    </w:p>
    <w:p>
      <w:pPr/>
      <w:r>
        <w:t xml:space="preserve">El flujo crítico (cliente → API → base de datos → respuesta) nunca espera a la IA ni a Bancs. Eso es lo que garantiza el requisito de menos de 2 segundos por transacción.</w:t>
      </w:r>
    </w:p>
    <w:p>
      <w:pPr>
        <w:pStyle w:val="Heading3"/>
      </w:pPr>
      <w:r>
        <w:t xml:space="preserve">1.2 Stack elegido y por qué</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Componente</w:t>
            </w:r>
          </w:p>
        </w:tc>
        <w:tc>
          <w:tcPr>
            <w:tcW w:w="3120" w:type="dxa"/>
            <w:shd w:val="clear" w:color="auto" w:fill="F2F2F2"/>
          </w:tcPr>
          <w:p>
            <w:pPr/>
            <w:r>
              <w:t xml:space="preserve">Elección</w:t>
            </w:r>
          </w:p>
        </w:tc>
        <w:tc>
          <w:tcPr>
            <w:tcW w:w="3120" w:type="dxa"/>
            <w:shd w:val="clear" w:color="auto" w:fill="F2F2F2"/>
          </w:tcPr>
          <w:p>
            <w:pPr/>
            <w:r>
              <w:t xml:space="preserve">Justificación (rendimiento / seguridad / escalabilidad)</w:t>
            </w:r>
          </w:p>
        </w:tc>
      </w:tr>
      <w:tr>
        <w:tc>
          <w:tcPr>
            <w:tcW w:w="3120" w:type="dxa"/>
          </w:tcPr>
          <w:p>
            <w:pPr/>
            <w:r>
              <w:t xml:space="preserve">Lenguaje backend</w:t>
            </w:r>
          </w:p>
        </w:tc>
        <w:tc>
          <w:tcPr>
            <w:tcW w:w="3120" w:type="dxa"/>
          </w:tcPr>
          <w:p>
            <w:pPr/>
            <w:r>
              <w:t xml:space="preserve">Java 21 + Spring Boot 4</w:t>
            </w:r>
          </w:p>
        </w:tc>
        <w:tc>
          <w:tcPr>
            <w:tcW w:w="3120" w:type="dxa"/>
          </w:tcPr>
          <w:p>
            <w:pPr/>
            <w:r>
              <w:t xml:space="preserve">Tipado fuerte, manejo maduro de concurrencia (</w:t>
            </w:r>
            <w:r>
              <w:rPr>
                <w:rStyle w:val="CodeChar"/>
              </w:rPr>
              <w:t xml:space="preserve">@Transactional</w:t>
            </w:r>
            <w:r>
              <w:t xml:space="preserve">, pools de hilos), estándar de facto en banca por su robustez y soporte a largo plazo</w:t>
            </w:r>
          </w:p>
        </w:tc>
      </w:tr>
      <w:tr>
        <w:tc>
          <w:tcPr>
            <w:tcW w:w="3120" w:type="dxa"/>
          </w:tcPr>
          <w:p>
            <w:pPr/>
            <w:r>
              <w:t xml:space="preserve">Base de datos</w:t>
            </w:r>
          </w:p>
        </w:tc>
        <w:tc>
          <w:tcPr>
            <w:tcW w:w="3120" w:type="dxa"/>
          </w:tcPr>
          <w:p>
            <w:pPr/>
            <w:r>
              <w:t xml:space="preserve">PostgreSQL 16</w:t>
            </w:r>
          </w:p>
        </w:tc>
        <w:tc>
          <w:tcPr>
            <w:tcW w:w="3120" w:type="dxa"/>
          </w:tcPr>
          <w:p>
            <w:pPr/>
            <w:r>
              <w:t xml:space="preserve">ACID completo, bloqueo a nivel de fila (</w:t>
            </w:r>
            <w:r>
              <w:rPr>
                <w:rStyle w:val="CodeChar"/>
              </w:rPr>
              <w:t xml:space="preserve">SELECT ... FOR UPDATE</w:t>
            </w:r>
            <w:r>
              <w:t xml:space="preserve">), tipo </w:t>
            </w:r>
            <w:r>
              <w:rPr>
                <w:rStyle w:val="CodeChar"/>
              </w:rPr>
              <w:t xml:space="preserve">NUMERIC</w:t>
            </w:r>
            <w:r>
              <w:t xml:space="preserve"> para dinero sin pérdida de precisión, gratuito</w:t>
            </w:r>
          </w:p>
        </w:tc>
      </w:tr>
      <w:tr>
        <w:tc>
          <w:tcPr>
            <w:tcW w:w="3120" w:type="dxa"/>
          </w:tcPr>
          <w:p>
            <w:pPr/>
            <w:r>
              <w:t xml:space="preserve">Migraciones</w:t>
            </w:r>
          </w:p>
        </w:tc>
        <w:tc>
          <w:tcPr>
            <w:tcW w:w="3120" w:type="dxa"/>
          </w:tcPr>
          <w:p>
            <w:pPr/>
            <w:r>
              <w:t xml:space="preserve">Flyway</w:t>
            </w:r>
          </w:p>
        </w:tc>
        <w:tc>
          <w:tcPr>
            <w:tcW w:w="3120" w:type="dxa"/>
          </w:tcPr>
          <w:p>
            <w:pPr/>
            <w:r>
              <w:t xml:space="preserve">Esquema versionado y auditable en Git, en vez de dejar que el ORM "adivine" cambios — crítico en un dominio financiero</w:t>
            </w:r>
          </w:p>
        </w:tc>
      </w:tr>
      <w:tr>
        <w:tc>
          <w:tcPr>
            <w:tcW w:w="3120" w:type="dxa"/>
          </w:tcPr>
          <w:p>
            <w:pPr/>
            <w:r>
              <w:t xml:space="preserve">IA (mock)</w:t>
            </w:r>
          </w:p>
        </w:tc>
        <w:tc>
          <w:tcPr>
            <w:tcW w:w="3120" w:type="dxa"/>
          </w:tcPr>
          <w:p>
            <w:pPr/>
            <w:r>
              <w:t xml:space="preserve">Servicio asíncrono en el mismo runtime, invocado con </w:t>
            </w:r>
            <w:r>
              <w:rPr>
                <w:rStyle w:val="CodeChar"/>
              </w:rPr>
              <w:t xml:space="preserve">@Async</w:t>
            </w:r>
          </w:p>
        </w:tc>
        <w:tc>
          <w:tcPr>
            <w:tcW w:w="3120" w:type="dxa"/>
          </w:tcPr>
          <w:p>
            <w:pPr/>
            <w:r>
              <w:t xml:space="preserve">Para el MVP evita la complejidad de desplegar un segundo servicio; en producción se separaría en su propio servicio para escalar independientemente</w:t>
            </w:r>
          </w:p>
        </w:tc>
      </w:tr>
      <w:tr>
        <w:tc>
          <w:tcPr>
            <w:tcW w:w="3120" w:type="dxa"/>
          </w:tcPr>
          <w:p>
            <w:pPr/>
            <w:r>
              <w:t xml:space="preserve">ETL</w:t>
            </w:r>
          </w:p>
        </w:tc>
        <w:tc>
          <w:tcPr>
            <w:tcW w:w="3120" w:type="dxa"/>
          </w:tcPr>
          <w:p>
            <w:pPr/>
            <w:r>
              <w:t xml:space="preserve">Python + pandas</w:t>
            </w:r>
          </w:p>
        </w:tc>
        <w:tc>
          <w:tcPr>
            <w:tcW w:w="3120" w:type="dxa"/>
          </w:tcPr>
          <w:p>
            <w:pPr/>
            <w:r>
              <w:t xml:space="preserve">Ecosistema estándar para limpieza y transformación de datos, independiente del core transaccional</w:t>
            </w:r>
          </w:p>
        </w:tc>
      </w:tr>
      <w:tr>
        <w:tc>
          <w:tcPr>
            <w:tcW w:w="3120" w:type="dxa"/>
          </w:tcPr>
          <w:p>
            <w:pPr/>
            <w:r>
              <w:t xml:space="preserve">IaC</w:t>
            </w:r>
          </w:p>
        </w:tc>
        <w:tc>
          <w:tcPr>
            <w:tcW w:w="3120" w:type="dxa"/>
          </w:tcPr>
          <w:p>
            <w:pPr/>
            <w:r>
              <w:t xml:space="preserve">Docker Compose</w:t>
            </w:r>
          </w:p>
        </w:tc>
        <w:tc>
          <w:tcPr>
            <w:tcW w:w="3120" w:type="dxa"/>
          </w:tcPr>
          <w:p>
            <w:pPr/>
            <w:r>
              <w:t xml:space="preserve">Dockerfile multi-stage para transactions-service más docker-compose.yml que orquesta PostgreSQL y el servicio de aplicación, con healthcheck que condiciona el orden de arranque; docker compose up -d --build levanta el sistema completo con un solo comando</w:t>
            </w:r>
          </w:p>
        </w:tc>
      </w:tr>
    </w:tbl>
    <w:p>
      <w:pPr>
        <w:pStyle w:val="Heading3"/>
      </w:pPr>
      <w:r>
        <w:t xml:space="preserve">1.3 Modelo de datos</w:t>
      </w:r>
    </w:p>
    <w:p>
      <w:pPr/>
      <w:r>
        <w:t xml:space="preserve">Dos tablas normalizadas (3FN): </w:t>
      </w:r>
      <w:r>
        <w:rPr>
          <w:rStyle w:val="CodeChar"/>
        </w:rPr>
        <w:t xml:space="preserve">account</w:t>
      </w:r>
      <w:r>
        <w:t xml:space="preserve"> (saldo como </w:t>
      </w:r>
      <w:r>
        <w:rPr>
          <w:rStyle w:val="CodeChar"/>
        </w:rPr>
        <w:t xml:space="preserve">NUMERIC(19,4)</w:t>
      </w:r>
      <w:r>
        <w:t xml:space="preserve">, nunca </w:t>
      </w:r>
      <w:r>
        <w:rPr>
          <w:rStyle w:val="CodeChar"/>
        </w:rPr>
        <w:t xml:space="preserve">float</w:t>
      </w:r>
      <w:r>
        <w:t xml:space="preserve">/</w:t>
      </w:r>
      <w:r>
        <w:rPr>
          <w:rStyle w:val="CodeChar"/>
        </w:rPr>
        <w:t xml:space="preserve">double</w:t>
      </w:r>
      <w:r>
        <w:t xml:space="preserve">, con </w:t>
      </w:r>
      <w:r>
        <w:rPr>
          <w:rStyle w:val="CodeChar"/>
        </w:rPr>
        <w:t xml:space="preserve">CHECK (balance &gt;= 0)</w:t>
      </w:r>
      <w:r>
        <w:t xml:space="preserve"> como última línea de defensa) y </w:t>
      </w:r>
      <w:r>
        <w:rPr>
          <w:rStyle w:val="CodeChar"/>
        </w:rPr>
        <w:t xml:space="preserve">transaction</w:t>
      </w:r>
      <w:r>
        <w:t xml:space="preserve"> (registro append-only, nunca se edita ni borra, con </w:t>
      </w:r>
      <w:r>
        <w:rPr>
          <w:rStyle w:val="CodeChar"/>
        </w:rPr>
        <w:t xml:space="preserve">idempotency_key</w:t>
      </w:r>
      <w:r>
        <w:t xml:space="preserve"> único). </w:t>
      </w:r>
      <w:r>
        <w:rPr>
          <w:rStyle w:val="CodeChar"/>
        </w:rPr>
        <w:t xml:space="preserve">transaction</w:t>
      </w:r>
      <w:r>
        <w:t xml:space="preserve"> no duplica datos de </w:t>
      </w:r>
      <w:r>
        <w:rPr>
          <w:rStyle w:val="CodeChar"/>
        </w:rPr>
        <w:t xml:space="preserve">account</w:t>
      </w:r>
      <w:r>
        <w:t xml:space="preserve">: solo referencia sus IDs.</w:t>
      </w:r>
    </w:p>
    <w:p>
      <w:pPr>
        <w:pStyle w:val="Heading3"/>
      </w:pPr>
      <w:r>
        <w:t xml:space="preserve">1.4 Concurrencia y consistencia</w:t>
      </w:r>
    </w:p>
    <w:p>
      <w:pPr/>
      <w:r>
        <w:t xml:space="preserve">El reto exige soportar 10 000 TPS sin condiciones de carrera. La solución implementada:</w:t>
      </w:r>
    </w:p>
    <w:p>
      <w:pPr>
        <w:pStyle w:val="ListParagraph"/>
        <w:numPr>
          <w:ilvl w:val="0"/>
          <w:numId w:val="3"/>
        </w:numPr>
      </w:pPr>
      <w:r>
        <w:rPr>
          <w:b/>
        </w:rPr>
        <w:t xml:space="preserve">Bloqueo pesimista</w:t>
      </w:r>
      <w:r>
        <w:t xml:space="preserve"> (</w:t>
      </w:r>
      <w:r>
        <w:rPr>
          <w:rStyle w:val="CodeChar"/>
        </w:rPr>
        <w:t xml:space="preserve">SELECT ... FOR UPDATE</w:t>
      </w:r>
      <w:r>
        <w:t xml:space="preserve">) sobre las dos cuentas involucradas en una transferencia, dentro de una transacción </w:t>
      </w:r>
      <w:r>
        <w:rPr>
          <w:rStyle w:val="CodeChar"/>
        </w:rPr>
        <w:t xml:space="preserve">@Transactional</w:t>
      </w:r>
      <w:r>
        <w:t xml:space="preserve">.</w:t>
      </w:r>
    </w:p>
    <w:p>
      <w:pPr>
        <w:pStyle w:val="ListParagraph"/>
        <w:numPr>
          <w:ilvl w:val="0"/>
          <w:numId w:val="3"/>
        </w:numPr>
      </w:pPr>
      <w:r>
        <w:rPr>
          <w:b/>
        </w:rPr>
        <w:t xml:space="preserve">Orden de bloqueo consistente</w:t>
      </w:r>
      <w:r>
        <w:t xml:space="preserve">: siempre se bloquea primero la cuenta de menor ID, sin importar cuál es origen o destino. Esto elimina el deadlock clásico donde la transacción A espera lo que B tiene bloqueado y viceversa.</w:t>
      </w:r>
    </w:p>
    <w:p>
      <w:pPr>
        <w:pStyle w:val="ListParagraph"/>
        <w:numPr>
          <w:ilvl w:val="0"/>
          <w:numId w:val="3"/>
        </w:numPr>
      </w:pPr>
      <w:r>
        <w:rPr>
          <w:b/>
        </w:rPr>
        <w:t xml:space="preserve">Idempotencia</w:t>
      </w:r>
      <w:r>
        <w:t xml:space="preserve">: cada petición incluye un </w:t>
      </w:r>
      <w:r>
        <w:rPr>
          <w:rStyle w:val="CodeChar"/>
        </w:rPr>
        <w:t xml:space="preserve">idempotencyKey</w:t>
      </w:r>
      <w:r>
        <w:t xml:space="preserve"> único (columna </w:t>
      </w:r>
      <w:r>
        <w:rPr>
          <w:rStyle w:val="CodeChar"/>
        </w:rPr>
        <w:t xml:space="preserve">UNIQUE</w:t>
      </w:r>
      <w:r>
        <w:t xml:space="preserve"> en la base). Si la misma clave llega dos veces (reintento de red, doble clic), se devuelve el resultado ya procesado en vez de reprocesar. Adicionalmente, si dos peticiones idénticas llegan en el mismo instante (antes de que cualquiera termine), la restricción </w:t>
      </w:r>
      <w:r>
        <w:rPr>
          <w:rStyle w:val="CodeChar"/>
        </w:rPr>
        <w:t xml:space="preserve">UNIQUE</w:t>
      </w:r>
      <w:r>
        <w:t xml:space="preserve"> de la base captura la colisión y el servicio responde con la transacción ya creada por la otra, en vez de fallar.</w:t>
      </w:r>
    </w:p>
    <w:p>
      <w:pPr/>
      <w:r>
        <w:rPr>
          <w:b/>
        </w:rPr>
        <w:t xml:space="preserve">Validación funcional</w:t>
      </w:r>
      <w:r>
        <w:t xml:space="preserve">: se ejecutaron y verificaron, tanto en ejecución local como dentro del contenedor Docker, los tres casos de aceptación: transferencia exitosa con saldos consistentes en la base, reenvío de la misma </w:t>
      </w:r>
      <w:r>
        <w:rPr>
          <w:rStyle w:val="CodeChar"/>
        </w:rPr>
        <w:t xml:space="preserve">idempotencyKey</w:t>
      </w:r>
      <w:r>
        <w:t xml:space="preserve"> sin duplicar el efecto, y rechazo por saldo insuficiente con el código de error correspondiente. </w:t>
      </w:r>
      <w:r>
        <w:rPr>
          <w:i/>
        </w:rPr>
        <w:t xml:space="preserve">Pendiente: prueba de carga con hilos concurrentes reales antes de la defensa final.</w:t>
      </w:r>
    </w:p>
    <w:p>
      <w:pPr>
        <w:pStyle w:val="Heading2"/>
      </w:pPr>
      <w:r>
        <w:t xml:space="preserve">2. Integración con Bancs (core legado)</w:t>
      </w:r>
    </w:p>
    <w:p>
      <w:pPr>
        <w:pStyle w:val="Heading3"/>
      </w:pPr>
      <w:r>
        <w:t xml:space="preserve">2.1 El problema</w:t>
      </w:r>
    </w:p>
    <w:p>
      <w:pPr/>
      <w:r>
        <w:t xml:space="preserve">Bancs es robusto pero no soporta alto volumen de consultas directas sin degradarse. SmartBancs App no puede consultarlo ni actualizarlo en el camino crítico de cada transacción (eso violaría el límite de 2 segundos y saturaría el core en los picos de 10 000 TPS).</w:t>
      </w:r>
    </w:p>
    <w:p>
      <w:pPr>
        <w:pStyle w:val="Heading3"/>
      </w:pPr>
      <w:r>
        <w:t xml:space="preserve">2.2 Estrategia: Outbox Pattern + sincronización asíncrona</w:t>
      </w:r>
    </w:p>
    <w:p>
      <w:pPr>
        <w:pStyle w:val="Code"/>
      </w:pPr>
      <w:bookmarkStart w:id="2" w:name="bongo_lang_mermaid_2"/>
      <w:bookmarkEnd w:id="2"/>
      <w:r>
        <w:t xml:space="preserve">sequenceDiagram</w:t>
        <w:br/>
        <w:t xml:space="preserve">    participant C as Cliente</w:t>
        <w:br/>
        <w:t xml:space="preserve">    participant S as transactions-service</w:t>
        <w:br/>
        <w:t xml:space="preserve">    participant DB as PostgreSQL</w:t>
        <w:br/>
        <w:t xml:space="preserve">    participant W as Worker de sincronización</w:t>
        <w:br/>
        <w:t xml:space="preserve">    participant B as Bancs</w:t>
        <w:br/>
        <w:br/>
        <w:t xml:space="preserve">    C-&gt;&gt;S: POST transacción</w:t>
        <w:br/>
        <w:t xml:space="preserve">    S-&gt;&gt;DB: INSERT transaction + INSERT outbox (misma transacción)</w:t>
        <w:br/>
        <w:t xml:space="preserve">    DB--&gt;&gt;S: commit</w:t>
        <w:br/>
        <w:t xml:space="preserve">    S--&gt;&gt;C: 201 Created (&lt; 2s)</w:t>
        <w:br/>
        <w:t xml:space="preserve">    loop Cada N segundos o por lote</w:t>
        <w:br/>
        <w:t xml:space="preserve">        W-&gt;&gt;DB: SELECT pendientes de outbox</w:t>
        <w:br/>
        <w:t xml:space="preserve">        W-&gt;&gt;B: Actualiza saldo en Bancs (por lotes, con reintentos)</w:t>
        <w:br/>
        <w:t xml:space="preserve">        W-&gt;&gt;DB: Marca outbox como sincronizado</w:t>
        <w:br/>
        <w:t xml:space="preserve">    end</w:t>
      </w:r>
    </w:p>
    <w:p>
      <w:pPr>
        <w:pStyle w:val="ListParagraph"/>
        <w:numPr>
          <w:ilvl w:val="0"/>
          <w:numId w:val="4"/>
        </w:numPr>
      </w:pPr>
      <w:r>
        <w:rPr>
          <w:b/>
        </w:rPr>
        <w:t xml:space="preserve">Outbox table</w:t>
      </w:r>
      <w:r>
        <w:t xml:space="preserve">: cada transacción exitosa inserta también una fila en una tabla </w:t>
      </w:r>
      <w:r>
        <w:rPr>
          <w:rStyle w:val="CodeChar"/>
        </w:rPr>
        <w:t xml:space="preserve">outbox</w:t>
      </w:r>
      <w:r>
        <w:t xml:space="preserve"> (misma transacción de BD, garantiza consistencia: si se guarda la transacción, se guarda el evento a sincronizar).</w:t>
      </w:r>
    </w:p>
    <w:p>
      <w:pPr>
        <w:pStyle w:val="ListParagraph"/>
        <w:numPr>
          <w:ilvl w:val="0"/>
          <w:numId w:val="4"/>
        </w:numPr>
      </w:pPr>
      <w:r>
        <w:rPr>
          <w:b/>
        </w:rPr>
        <w:t xml:space="preserve">Worker separado</w:t>
      </w:r>
      <w:r>
        <w:t xml:space="preserve">: un proceso aparte (scheduled job o consumidor de una cola) lee la </w:t>
      </w:r>
      <w:r>
        <w:rPr>
          <w:rStyle w:val="CodeChar"/>
        </w:rPr>
        <w:t xml:space="preserve">outbox</w:t>
      </w:r>
      <w:r>
        <w:t xml:space="preserve"> periódicamente y empuja los cambios a Bancs </w:t>
      </w:r>
      <w:r>
        <w:rPr>
          <w:b/>
        </w:rPr>
        <w:t xml:space="preserve">por lotes</w:t>
      </w:r>
      <w:r>
        <w:t xml:space="preserve">, no uno por uno — así se reduce drasticamente el volumen de llamadas directas.</w:t>
      </w:r>
    </w:p>
    <w:p>
      <w:pPr>
        <w:pStyle w:val="ListParagraph"/>
        <w:numPr>
          <w:ilvl w:val="0"/>
          <w:numId w:val="4"/>
        </w:numPr>
      </w:pPr>
      <w:r>
        <w:rPr>
          <w:b/>
        </w:rPr>
        <w:t xml:space="preserve">Reintentos con backoff exponencial</w:t>
      </w:r>
      <w:r>
        <w:t xml:space="preserve"> y </w:t>
      </w:r>
      <w:r>
        <w:rPr>
          <w:b/>
        </w:rPr>
        <w:t xml:space="preserve">circuit breaker</w:t>
      </w:r>
      <w:r>
        <w:t xml:space="preserve">: si Bancs no responde o se degrada, el worker deja de insistir por un tiempo en vez de agravar el problema, y reintenta después.</w:t>
      </w:r>
    </w:p>
    <w:p>
      <w:pPr>
        <w:pStyle w:val="ListParagraph"/>
        <w:numPr>
          <w:ilvl w:val="0"/>
          <w:numId w:val="4"/>
        </w:numPr>
      </w:pPr>
      <w:r>
        <w:rPr>
          <w:b/>
        </w:rPr>
        <w:t xml:space="preserve">Caché de saldo</w:t>
      </w:r>
      <w:r>
        <w:t xml:space="preserve"> (ej. Redis) como mejora futura: SmartBancs App podría leer el saldo desde su propia base (ya sincronizada) en vez de preguntarle a Bancs en cada consulta de saldo.</w:t>
      </w:r>
    </w:p>
    <w:p>
      <w:pPr/>
      <w:r>
        <w:t xml:space="preserve">Esto significa que el saldo en Bancs se actualiza con una latencia de segundos a minutos (eventual consistency), lo cual es aceptable porque Bancs sigue siendo la fuente de verdad regulatoria, pero SmartBancs App opera con su propia copia consistente para el flujo transaccional rápido.</w:t>
      </w:r>
    </w:p>
    <w:p>
      <w:pPr>
        <w:pStyle w:val="Heading3"/>
      </w:pPr>
      <w:r>
        <w:t xml:space="preserve">2.3 ETL (práctico)</w:t>
      </w:r>
    </w:p>
    <w:p>
      <w:pPr/>
      <w:r>
        <w:t xml:space="preserve">Se implementó un script (</w:t>
      </w:r>
      <w:r>
        <w:rPr>
          <w:rStyle w:val="CodeChar"/>
        </w:rPr>
        <w:t xml:space="preserve">etl/clean_transactions.py</w:t>
      </w:r>
      <w:r>
        <w:t xml:space="preserve">, Python + pandas) que toma un lote de transacciones crudas (con nulos, montos en formatos inconsistentes como </w:t>
      </w:r>
      <w:r>
        <w:rPr>
          <w:rStyle w:val="CodeChar"/>
        </w:rPr>
        <w:t xml:space="preserve">"$1,234.56"</w:t>
      </w:r>
      <w:r>
        <w:t xml:space="preserve"> vs </w:t>
      </w:r>
      <w:r>
        <w:rPr>
          <w:rStyle w:val="CodeChar"/>
        </w:rPr>
        <w:t xml:space="preserve">1234.56</w:t>
      </w:r>
      <w:r>
        <w:t xml:space="preserve">, y fechas en distintos formatos) y las normaliza: limpia el monto a </w:t>
      </w:r>
      <w:r>
        <w:rPr>
          <w:rStyle w:val="CodeChar"/>
        </w:rPr>
        <w:t xml:space="preserve">float</w:t>
      </w:r>
      <w:r>
        <w:t xml:space="preserve">, estandariza fechas a ISO </w:t>
      </w:r>
      <w:r>
        <w:rPr>
          <w:rStyle w:val="CodeChar"/>
        </w:rPr>
        <w:t xml:space="preserve">YYYY-MM-DD</w:t>
      </w:r>
      <w:r>
        <w:t xml:space="preserve">, normaliza el número de cuenta (trim + uppercase) y rellena descripciones vacías. Sobre la muestra de prueba (15 filas, 5 con valores nulos) el script corrigió el 100% de los nulos; el resultado queda en un CSV limpio, listo para análisis o para alimentar al modelo de IA.</w:t>
      </w:r>
    </w:p>
    <w:p>
      <w:pPr>
        <w:pStyle w:val="Heading2"/>
      </w:pPr>
      <w:r>
        <w:t xml:space="preserve">3. Inteligencia Artificial</w:t>
      </w:r>
    </w:p>
    <w:p>
      <w:pPr>
        <w:pStyle w:val="Heading3"/>
      </w:pPr>
      <w:r>
        <w:t xml:space="preserve">3.1 Integración asíncrona (práctico)</w:t>
      </w:r>
    </w:p>
    <w:p>
      <w:pPr/>
      <w:r>
        <w:rPr>
          <w:rStyle w:val="CodeChar"/>
        </w:rPr>
        <w:t xml:space="preserve">AiRecommendationService</w:t>
      </w:r>
      <w:r>
        <w:t xml:space="preserve"> es un mock funcional (simula 1-2s de latencia, como tendría un modelo real) invocado con </w:t>
      </w:r>
      <w:r>
        <w:rPr>
          <w:rStyle w:val="CodeChar"/>
        </w:rPr>
        <w:t xml:space="preserve">@Async</w:t>
      </w:r>
      <w:r>
        <w:t xml:space="preserve"> de Spring </w:t>
      </w:r>
      <w:r>
        <w:rPr>
          <w:b/>
        </w:rPr>
        <w:t xml:space="preserve">después</w:t>
      </w:r>
      <w:r>
        <w:t xml:space="preserve"> de que la transacción ya se confirmó y se respondió al cliente. El endpoint nunca espera la respuesta de la IA: si el mock (o en producción, el modelo real) tarda o falla, la transferencia ya se completó y el usuario no se ve afectado. Esto se verifica en los logs: el mensaje de "IA terminada" aparece cronológicamente </w:t>
      </w:r>
      <w:r>
        <w:rPr>
          <w:b/>
        </w:rPr>
        <w:t xml:space="preserve">después</w:t>
      </w:r>
      <w:r>
        <w:t xml:space="preserve"> de que el endpoint ya devolvió la respuesta HTTP 201. Este comportamiento se verificó tanto en ejecución local como dentro del contenedor Docker.</w:t>
      </w:r>
    </w:p>
    <w:p>
      <w:pPr/>
      <w:r>
        <w:t xml:space="preserve">En producción, este mock se reemplazaría por un servicio independiente (para escalarlo por separado del core transaccional), comunicándose por una cola de mensajes en vez de una llamada </w:t>
      </w:r>
      <w:r>
        <w:rPr>
          <w:rStyle w:val="CodeChar"/>
        </w:rPr>
        <w:t xml:space="preserve">@Async</w:t>
      </w:r>
      <w:r>
        <w:t xml:space="preserve"> en el mismo proceso — el patrón asíncrono es el mismo, solo cambia el mecanismo de transporte.</w:t>
      </w:r>
    </w:p>
    <w:p>
      <w:pPr>
        <w:pStyle w:val="Heading3"/>
      </w:pPr>
      <w:r>
        <w:t xml:space="preserve">3.2 Ciclo de vida del modelo en producción (teórico)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Aspecto</w:t>
            </w:r>
          </w:p>
        </w:tc>
        <w:tc>
          <w:tcPr>
            <w:tcW w:w="4680" w:type="dxa"/>
            <w:shd w:val="clear" w:color="auto" w:fill="F2F2F2"/>
          </w:tcPr>
          <w:p>
            <w:pPr/>
            <w:r>
              <w:t xml:space="preserve">Enfoque</w:t>
            </w:r>
          </w:p>
        </w:tc>
      </w:tr>
      <w:tr>
        <w:tc>
          <w:tcPr>
            <w:tcW w:w="4680" w:type="dxa"/>
          </w:tcPr>
          <w:p>
            <w:pPr/>
            <w:r>
              <w:t xml:space="preserve">Alimentación de datos</w:t>
            </w:r>
          </w:p>
        </w:tc>
        <w:tc>
          <w:tcPr>
            <w:tcW w:w="4680" w:type="dxa"/>
          </w:tcPr>
          <w:p>
            <w:pPr/>
            <w:r>
              <w:t xml:space="preserve">El modelo se re-entrena periódicamente con los datos limpios que produce el pipeline ETL (sección 2.3), nunca con datos crudos</w:t>
            </w:r>
          </w:p>
        </w:tc>
      </w:tr>
      <w:tr>
        <w:tc>
          <w:tcPr>
            <w:tcW w:w="4680" w:type="dxa"/>
          </w:tcPr>
          <w:p>
            <w:pPr/>
            <w:r>
              <w:t xml:space="preserve">Monitoreo de data drift</w:t>
            </w:r>
          </w:p>
        </w:tc>
        <w:tc>
          <w:tcPr>
            <w:tcW w:w="4680" w:type="dxa"/>
          </w:tcPr>
          <w:p>
            <w:pPr/>
            <w:r>
              <w:t xml:space="preserve">Se compara la distribución estadística de los datos de entrada actuales contra la distribución usada en el entrenamiento (ej. promedio y desviación de montos, frecuencia de categorías); una desviación significativa dispara una alerta y una revisión de re-entrenamiento</w:t>
            </w:r>
          </w:p>
        </w:tc>
      </w:tr>
      <w:tr>
        <w:tc>
          <w:tcPr>
            <w:tcW w:w="4680" w:type="dxa"/>
          </w:tcPr>
          <w:p>
            <w:pPr/>
            <w:r>
              <w:t xml:space="preserve">Consumo de recursos</w:t>
            </w:r>
          </w:p>
        </w:tc>
        <w:tc>
          <w:tcPr>
            <w:tcW w:w="4680" w:type="dxa"/>
          </w:tcPr>
          <w:p>
            <w:pPr/>
            <w:r>
              <w:t xml:space="preserve">El servicio de IA corre aislado del core transaccional (límites de CPU/memoria propios), con autoescalado independiente, para que un pico de carga en IA nunca compita por recursos con las transferencias</w:t>
            </w:r>
          </w:p>
        </w:tc>
      </w:tr>
      <w:tr>
        <w:tc>
          <w:tcPr>
            <w:tcW w:w="4680" w:type="dxa"/>
          </w:tcPr>
          <w:p>
            <w:pPr/>
            <w:r>
              <w:t xml:space="preserve">Versionado</w:t>
            </w:r>
          </w:p>
        </w:tc>
        <w:tc>
          <w:tcPr>
            <w:tcW w:w="4680" w:type="dxa"/>
          </w:tcPr>
          <w:p>
            <w:pPr/>
            <w:r>
              <w:t xml:space="preserve">Cada modelo desplegado se versiona; se puede hacer rollback inmediato a la versión anterior si el nuevo modelo degrada la calidad de las recomendaciones</w:t>
            </w:r>
          </w:p>
        </w:tc>
      </w:tr>
    </w:tbl>
    <w:p>
      <w:pPr>
        <w:pStyle w:val="Heading2"/>
      </w:pPr>
      <w:r>
        <w:t xml:space="preserve">4. Observabilidad</w:t>
      </w:r>
    </w:p>
    <w:p>
      <w:pPr>
        <w:pStyle w:val="Heading3"/>
      </w:pPr>
      <w:r>
        <w:t xml:space="preserve">4.1 Instrumentación implementada (práctico)</w:t>
      </w:r>
    </w:p>
    <w:p>
      <w:pPr>
        <w:pStyle w:val="ListParagraph"/>
        <w:numPr>
          <w:ilvl w:val="0"/>
          <w:numId w:val="5"/>
        </w:numPr>
      </w:pPr>
      <w:r>
        <w:rPr>
          <w:b/>
        </w:rPr>
        <w:t xml:space="preserve">Logs estructurados</w:t>
      </w:r>
      <w:r>
        <w:t xml:space="preserve"> (SLF4J): cada operación crítica se registra — inicio de transferencia, débito exitoso, crédito exitoso, transacción guardada, invocación y finalización de la llamada a IA, y cualquier excepción.</w:t>
      </w:r>
    </w:p>
    <w:p>
      <w:pPr>
        <w:pStyle w:val="ListParagraph"/>
        <w:numPr>
          <w:ilvl w:val="0"/>
          <w:numId w:val="5"/>
        </w:numPr>
      </w:pPr>
      <w:r>
        <w:rPr>
          <w:b/>
        </w:rPr>
        <w:t xml:space="preserve">Trazabilidad</w:t>
      </w:r>
      <w:r>
        <w:t xml:space="preserve">: cada transacción genera un </w:t>
      </w:r>
      <w:r>
        <w:rPr>
          <w:rStyle w:val="CodeChar"/>
        </w:rPr>
        <w:t xml:space="preserve">traceId</w:t>
      </w:r>
      <w:r>
        <w:t xml:space="preserve"> (UUID) que se guarda en la fila de </w:t>
      </w:r>
      <w:r>
        <w:rPr>
          <w:rStyle w:val="CodeChar"/>
        </w:rPr>
        <w:t xml:space="preserve">transaction</w:t>
      </w:r>
      <w:r>
        <w:t xml:space="preserve"> y se inyecta en el MDC de SLF4J, por lo que </w:t>
      </w:r>
      <w:r>
        <w:rPr>
          <w:b/>
        </w:rPr>
        <w:t xml:space="preserve">aparece en cada línea de log</w:t>
      </w:r>
      <w:r>
        <w:t xml:space="preserve"> relacionada con esa operación — permite reconstruir el recorrido completo de una transacción específica a través de los componentes.</w:t>
      </w:r>
    </w:p>
    <w:p>
      <w:pPr>
        <w:pStyle w:val="ListParagraph"/>
        <w:numPr>
          <w:ilvl w:val="0"/>
          <w:numId w:val="5"/>
        </w:numPr>
      </w:pPr>
      <w:r>
        <w:rPr>
          <w:b/>
        </w:rPr>
        <w:t xml:space="preserve">Métricas</w:t>
      </w:r>
      <w:r>
        <w:t xml:space="preserve">: </w:t>
      </w:r>
      <w:r>
        <w:rPr>
          <w:rStyle w:val="CodeChar"/>
        </w:rPr>
        <w:t xml:space="preserve">Micrometer expone contadores y un timer personalizados a través de Actuator: transfers.success (transferencias completadas), transfers.failed con la etiqueta reason (motivo del rechazo: saldo insuficiente, cuenta no encontrada, timeout de lock) y transfers.duration (duración total de la operación). Se verificaron ejecutando transferencias reales y consultando /actuator/metrics, junto con las métricas base de JVM y del pool HikariCP que Actuator expone sin configuración adicional</w:t>
      </w:r>
      <w:r>
        <w:t xml:space="preserve">.</w:t>
      </w:r>
    </w:p>
    <w:p>
      <w:pPr>
        <w:pStyle w:val="Heading3"/>
      </w:pPr>
      <w:r>
        <w:t xml:space="preserve">4.2 Qué monitorear y por qué (teórico)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Señal</w:t>
            </w:r>
          </w:p>
        </w:tc>
        <w:tc>
          <w:tcPr>
            <w:tcW w:w="3120" w:type="dxa"/>
            <w:shd w:val="clear" w:color="auto" w:fill="F2F2F2"/>
          </w:tcPr>
          <w:p>
            <w:pPr/>
            <w:r>
              <w:t xml:space="preserve">Qué indica</w:t>
            </w:r>
          </w:p>
        </w:tc>
        <w:tc>
          <w:tcPr>
            <w:tcW w:w="3120" w:type="dxa"/>
            <w:shd w:val="clear" w:color="auto" w:fill="F2F2F2"/>
          </w:tcPr>
          <w:p>
            <w:pPr/>
            <w:r>
              <w:t xml:space="preserve">Umbral orientativo</w:t>
            </w:r>
          </w:p>
        </w:tc>
      </w:tr>
      <w:tr>
        <w:tc>
          <w:tcPr>
            <w:tcW w:w="3120" w:type="dxa"/>
          </w:tcPr>
          <w:p>
            <w:pPr/>
            <w:r>
              <w:t xml:space="preserve">Latencia p95/p99 del endpoint</w:t>
            </w:r>
          </w:p>
        </w:tc>
        <w:tc>
          <w:tcPr>
            <w:tcW w:w="3120" w:type="dxa"/>
          </w:tcPr>
          <w:p>
            <w:pPr/>
            <w:r>
              <w:t xml:space="preserve">Degradación del servicio antes de que afecte a todos los usuarios</w:t>
            </w:r>
          </w:p>
        </w:tc>
        <w:tc>
          <w:tcPr>
            <w:tcW w:w="3120" w:type="dxa"/>
          </w:tcPr>
          <w:p>
            <w:pPr/>
            <w:r>
              <w:t xml:space="preserve">&gt; 2s sostenido = alerta</w:t>
            </w:r>
          </w:p>
        </w:tc>
      </w:tr>
      <w:tr>
        <w:tc>
          <w:tcPr>
            <w:tcW w:w="3120" w:type="dxa"/>
          </w:tcPr>
          <w:p>
            <w:pPr/>
            <w:r>
              <w:t xml:space="preserve">Uso del pool de conexiones (HikariCP)</w:t>
            </w:r>
          </w:p>
        </w:tc>
        <w:tc>
          <w:tcPr>
            <w:tcW w:w="3120" w:type="dxa"/>
          </w:tcPr>
          <w:p>
            <w:pPr/>
            <w:r>
              <w:t xml:space="preserve">Saturación de la base de datos, antícipo de timeouts</w:t>
            </w:r>
          </w:p>
        </w:tc>
        <w:tc>
          <w:tcPr>
            <w:tcW w:w="3120" w:type="dxa"/>
          </w:tcPr>
          <w:p>
            <w:pPr/>
            <w:r>
              <w:t xml:space="preserve">&gt; 80% de conexiones activas</w:t>
            </w:r>
          </w:p>
        </w:tc>
      </w:tr>
      <w:tr>
        <w:tc>
          <w:tcPr>
            <w:tcW w:w="3120" w:type="dxa"/>
          </w:tcPr>
          <w:p>
            <w:pPr/>
            <w:r>
              <w:t xml:space="preserve">Tasa de errores 5xx / total de requests</w:t>
            </w:r>
          </w:p>
        </w:tc>
        <w:tc>
          <w:tcPr>
            <w:tcW w:w="3120" w:type="dxa"/>
          </w:tcPr>
          <w:p>
            <w:pPr/>
            <w:r>
              <w:t xml:space="preserve">Fallos que el usuario percibe directamente</w:t>
            </w:r>
          </w:p>
        </w:tc>
        <w:tc>
          <w:tcPr>
            <w:tcW w:w="3120" w:type="dxa"/>
          </w:tcPr>
          <w:p>
            <w:pPr/>
            <w:r>
              <w:t xml:space="preserve">&gt; 1% en 5 minutos</w:t>
            </w:r>
          </w:p>
        </w:tc>
      </w:tr>
      <w:tr>
        <w:tc>
          <w:tcPr>
            <w:tcW w:w="3120" w:type="dxa"/>
          </w:tcPr>
          <w:p>
            <w:pPr/>
            <w:r>
              <w:t xml:space="preserve">Tiempo de espera en locks de base de datos</w:t>
            </w:r>
          </w:p>
        </w:tc>
        <w:tc>
          <w:tcPr>
            <w:tcW w:w="3120" w:type="dxa"/>
          </w:tcPr>
          <w:p>
            <w:pPr/>
            <w:r>
              <w:t xml:space="preserve">Contención por concurrencia, riesgo de deadlock</w:t>
            </w:r>
          </w:p>
        </w:tc>
        <w:tc>
          <w:tcPr>
            <w:tcW w:w="3120" w:type="dxa"/>
          </w:tcPr>
          <w:p>
            <w:pPr/>
            <w:r>
              <w:t xml:space="preserve">Consultas bloqueadas &gt; 1s</w:t>
            </w:r>
          </w:p>
        </w:tc>
      </w:tr>
      <w:tr>
        <w:tc>
          <w:tcPr>
            <w:tcW w:w="3120" w:type="dxa"/>
          </w:tcPr>
          <w:p>
            <w:pPr/>
            <w:r>
              <w:t xml:space="preserve">Volumen transaccional (TPS) vs. capacidad</w:t>
            </w:r>
          </w:p>
        </w:tc>
        <w:tc>
          <w:tcPr>
            <w:tcW w:w="3120" w:type="dxa"/>
          </w:tcPr>
          <w:p>
            <w:pPr/>
            <w:r>
              <w:t xml:space="preserve">Anticipar saturación antes del pico de quincena</w:t>
            </w:r>
          </w:p>
        </w:tc>
        <w:tc>
          <w:tcPr>
            <w:tcW w:w="3120" w:type="dxa"/>
          </w:tcPr>
          <w:p>
            <w:pPr/>
            <w:r>
              <w:t xml:space="preserve">&gt; 80% de la capacidad probada</w:t>
            </w:r>
          </w:p>
        </w:tc>
      </w:tr>
    </w:tbl>
    <w:p>
      <w:pPr/>
      <w:r>
        <w:t xml:space="preserve">Estas señales se eligieron porque cada una actúa como señal temprana de exactamente el tipo de incidente descrito en la sección 5 (timeouts, deadlocks, saturación) — permiten actuar </w:t>
      </w:r>
      <w:r>
        <w:rPr>
          <w:b/>
        </w:rPr>
        <w:t xml:space="preserve">antes</w:t>
      </w:r>
      <w:r>
        <w:t xml:space="preserve"> de que el usuario note el problema.</w:t>
      </w:r>
    </w:p>
    <w:p>
      <w:pPr>
        <w:pStyle w:val="Heading2"/>
      </w:pPr>
      <w:r>
        <w:t xml:space="preserve">5. Incidente crítico simulado</w:t>
      </w:r>
    </w:p>
    <w:p>
      <w:pPr/>
      <w:r>
        <w:rPr>
          <w:b/>
        </w:rPr>
        <w:t xml:space="preserve">Escenario:</w:t>
      </w:r>
      <w:r>
        <w:t xml:space="preserve"> pico de quincena, transferencias no se completan, latencia alta, timeouts de BD, posibles deadlocks.</w:t>
      </w:r>
    </w:p>
    <w:p>
      <w:pPr>
        <w:pStyle w:val="Heading3"/>
      </w:pPr>
      <w:r>
        <w:t xml:space="preserve">5.1 Diagnóstico (práctico ya disponible)</w:t>
      </w:r>
    </w:p>
    <w:p>
      <w:pPr/>
      <w:r>
        <w:t xml:space="preserve">Con la instrumentación de la sección 4, el diagnóstico es directo:</w:t>
      </w:r>
    </w:p>
    <w:p>
      <w:pPr>
        <w:pStyle w:val="ListParagraph"/>
        <w:numPr>
          <w:ilvl w:val="0"/>
          <w:numId w:val="6"/>
        </w:numPr>
      </w:pPr>
      <w:r>
        <w:t xml:space="preserve">Revisar transfers.duration y las métricas de HikariCP en Actuator: un aumento sostenido confirma saturación de BD antes de que el usuario perciba errores.</w:t>
      </w:r>
    </w:p>
    <w:p>
      <w:pPr>
        <w:pStyle w:val="ListParagraph"/>
        <w:numPr>
          <w:ilvl w:val="0"/>
          <w:numId w:val="6"/>
        </w:numPr>
      </w:pPr>
      <w:r>
        <w:rPr>
          <w:rStyle w:val="CodeChar"/>
        </w:rPr>
        <w:t xml:space="preserve">Revisar las advertencias de TransferService.lockAccount(): el método mide el tiempo de adquisición de cada SELECT ... FOR UPDATE y emite un log.warn identificando la cuenta en contención cuando ese tiempo supera 300 ms, sin depender de que el usuario reporte el problema</w:t>
      </w:r>
      <w:r>
        <w:t xml:space="preserve">.</w:t>
      </w:r>
    </w:p>
    <w:p>
      <w:pPr>
        <w:pStyle w:val="ListParagraph"/>
        <w:numPr>
          <w:ilvl w:val="0"/>
          <w:numId w:val="6"/>
        </w:numPr>
      </w:pPr>
      <w:r>
        <w:t xml:space="preserve">En PostgreSQL, consultar bloqueos activos directamente:</w:t>
      </w:r>
    </w:p>
    <w:p>
      <w:pPr>
        <w:pStyle w:val="Code"/>
      </w:pPr>
      <w:bookmarkStart w:id="3" w:name="bongo_lang_sql_3"/>
      <w:bookmarkEnd w:id="3"/>
      <w:r>
        <w:t xml:space="preserve">SELECT pid, state, wait_event_type, query, now() - query_start AS duration</w:t>
        <w:br/>
        <w:t xml:space="preserve">FROM pg_stat_activity</w:t>
        <w:br/>
        <w:t xml:space="preserve">WHERE state != 'idle'</w:t>
        <w:br/>
        <w:t xml:space="preserve">ORDER BY duration DESC;</w:t>
      </w:r>
    </w:p>
    <w:p>
      <w:pPr/>
      <w:r>
        <w:t xml:space="preserve">Esto identifica exactamente qué consulta lleva más tiempo bloqueada — y como todas las transferencias usan el mismo orden consistente de bloqueo (sección 1.4), un deadlock real indicaría un bug en otra parte del código que no respeta ese orden. A nivel de API, GlobalExceptionHandler distingue este escenario: CannotAcquireLockException y QueryTimeoutException responden con 503 en vez de un 500 genérico, permitiendo que el cliente reintente en lugar de asumir un fallo permanente.</w:t>
      </w:r>
    </w:p>
    <w:p>
      <w:pPr>
        <w:pStyle w:val="Heading3"/>
      </w:pPr>
      <w:r>
        <w:t xml:space="preserve">5.2 Acciones inmediatas (teórico)</w:t>
      </w:r>
    </w:p>
    <w:p>
      <w:pPr>
        <w:pStyle w:val="ListParagraph"/>
        <w:numPr>
          <w:ilvl w:val="0"/>
          <w:numId w:val="7"/>
        </w:numPr>
      </w:pPr>
      <w:r>
        <w:rPr>
          <w:b/>
        </w:rPr>
        <w:t xml:space="preserve">Terminar conexiones bloqueadas</w:t>
      </w:r>
      <w:r>
        <w:t xml:space="preserve"> que exceden un umbral: </w:t>
      </w:r>
      <w:r>
        <w:rPr>
          <w:rStyle w:val="CodeChar"/>
        </w:rPr>
        <w:t xml:space="preserve">SELECT pg_terminate_backend(pid) FROM pg_stat_activity WHERE ...</w:t>
      </w:r>
      <w:r>
        <w:t xml:space="preserve"> sobre las que llevan más tiempo esperando.</w:t>
      </w:r>
    </w:p>
    <w:p>
      <w:pPr>
        <w:pStyle w:val="ListParagraph"/>
        <w:numPr>
          <w:ilvl w:val="0"/>
          <w:numId w:val="7"/>
        </w:numPr>
      </w:pPr>
      <w:r>
        <w:rPr>
          <w:b/>
        </w:rPr>
        <w:t xml:space="preserve">Aumentar temporalmente</w:t>
      </w:r>
      <w:r>
        <w:t xml:space="preserve"> el pool de conexiones de HikariCP (o el número de réplicas del servicio) para absorber el pico.</w:t>
      </w:r>
    </w:p>
    <w:p>
      <w:pPr>
        <w:pStyle w:val="ListParagraph"/>
        <w:numPr>
          <w:ilvl w:val="0"/>
          <w:numId w:val="7"/>
        </w:numPr>
      </w:pPr>
      <w:r>
        <w:rPr>
          <w:b/>
        </w:rPr>
        <w:t xml:space="preserve">Rate limiting</w:t>
      </w:r>
      <w:r>
        <w:t xml:space="preserve"> en el borde (API Gateway o filtro): rechazar controladamente el exceso de tráfico en vez de dejar que colapse toda la base.</w:t>
      </w:r>
    </w:p>
    <w:p>
      <w:pPr>
        <w:pStyle w:val="ListParagraph"/>
        <w:numPr>
          <w:ilvl w:val="0"/>
          <w:numId w:val="7"/>
        </w:numPr>
      </w:pPr>
      <w:r>
        <w:rPr>
          <w:b/>
        </w:rPr>
        <w:t xml:space="preserve">Desactivar temporalmente</w:t>
      </w:r>
      <w:r>
        <w:t xml:space="preserve"> funciones no críticas (como las llamadas a IA) para liberar hilos y conexiones para el flujo transaccional principal.</w:t>
      </w:r>
    </w:p>
    <w:p>
      <w:pPr>
        <w:pStyle w:val="Heading2"/>
      </w:pPr>
      <w:r>
        <w:t xml:space="preserve">6. Gestión de incidentes: post mortem</w:t>
      </w:r>
    </w:p>
    <w:p>
      <w:pPr>
        <w:pStyle w:val="Heading3"/>
      </w:pPr>
      <w:r>
        <w:t xml:space="preserve">6.1 Escalamiento</w:t>
      </w:r>
    </w:p>
    <w:p>
      <w:pPr/>
      <w:r>
        <w:t xml:space="preserve">Alerta automática (métricas fuera de umbral) → on-call de infraestructura investiga primero (5-10 min) → si no se resuelve, escala a on-call de backend → si el impacto es alto (&gt;10% de transacciones fallando), se notifica a liderazgo técnico y se abre un canal de incidente dedicado.</w:t>
      </w:r>
    </w:p>
    <w:p>
      <w:pPr>
        <w:pStyle w:val="Heading3"/>
      </w:pPr>
      <w:r>
        <w:t xml:space="preserve">6.2 Estructura del informe post mortem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Sección</w:t>
            </w:r>
          </w:p>
        </w:tc>
        <w:tc>
          <w:tcPr>
            <w:tcW w:w="4680" w:type="dxa"/>
            <w:shd w:val="clear" w:color="auto" w:fill="F2F2F2"/>
          </w:tcPr>
          <w:p>
            <w:pPr/>
            <w:r>
              <w:t xml:space="preserve">Contenido</w:t>
            </w:r>
          </w:p>
        </w:tc>
      </w:tr>
      <w:tr>
        <w:tc>
          <w:tcPr>
            <w:tcW w:w="4680" w:type="dxa"/>
          </w:tcPr>
          <w:p>
            <w:pPr/>
            <w:r>
              <w:t xml:space="preserve">Resumen</w:t>
            </w:r>
          </w:p>
        </w:tc>
        <w:tc>
          <w:tcPr>
            <w:tcW w:w="4680" w:type="dxa"/>
          </w:tcPr>
          <w:p>
            <w:pPr/>
            <w:r>
              <w:t xml:space="preserve">Qué pasó, en 2-3 líneas, sin jerga</w:t>
            </w:r>
          </w:p>
        </w:tc>
      </w:tr>
      <w:tr>
        <w:tc>
          <w:tcPr>
            <w:tcW w:w="4680" w:type="dxa"/>
          </w:tcPr>
          <w:p>
            <w:pPr/>
            <w:r>
              <w:t xml:space="preserve">Impacto</w:t>
            </w:r>
          </w:p>
        </w:tc>
        <w:tc>
          <w:tcPr>
            <w:tcW w:w="4680" w:type="dxa"/>
          </w:tcPr>
          <w:p>
            <w:pPr/>
            <w:r>
              <w:t xml:space="preserve">Cuántos usuarios/transacciones afectados, cuánto tiempo, pérdida económica si aplica</w:t>
            </w:r>
          </w:p>
        </w:tc>
      </w:tr>
      <w:tr>
        <w:tc>
          <w:tcPr>
            <w:tcW w:w="4680" w:type="dxa"/>
          </w:tcPr>
          <w:p>
            <w:pPr/>
            <w:r>
              <w:t xml:space="preserve">Línea de tiempo</w:t>
            </w:r>
          </w:p>
        </w:tc>
        <w:tc>
          <w:tcPr>
            <w:tcW w:w="4680" w:type="dxa"/>
          </w:tcPr>
          <w:p>
            <w:pPr/>
            <w:r>
              <w:t xml:space="preserve">Hora por hora: detección, diagnóstico, mitigación, resolución</w:t>
            </w:r>
          </w:p>
        </w:tc>
      </w:tr>
      <w:tr>
        <w:tc>
          <w:tcPr>
            <w:tcW w:w="4680" w:type="dxa"/>
          </w:tcPr>
          <w:p>
            <w:pPr/>
            <w:r>
              <w:t xml:space="preserve">Causa raíz</w:t>
            </w:r>
          </w:p>
        </w:tc>
        <w:tc>
          <w:tcPr>
            <w:tcW w:w="4680" w:type="dxa"/>
          </w:tcPr>
          <w:p>
            <w:pPr/>
            <w:r>
              <w:t xml:space="preserve">Análisis técnico real, no solo el síntoma</w:t>
            </w:r>
          </w:p>
        </w:tc>
      </w:tr>
      <w:tr>
        <w:tc>
          <w:tcPr>
            <w:tcW w:w="4680" w:type="dxa"/>
          </w:tcPr>
          <w:p>
            <w:pPr/>
            <w:r>
              <w:t xml:space="preserve">Qué funcionó / qué no</w:t>
            </w:r>
          </w:p>
        </w:tc>
        <w:tc>
          <w:tcPr>
            <w:tcW w:w="4680" w:type="dxa"/>
          </w:tcPr>
          <w:p>
            <w:pPr/>
            <w:r>
              <w:t xml:space="preserve">Honesto, sin buscar culpables (blameless)</w:t>
            </w:r>
          </w:p>
        </w:tc>
      </w:tr>
      <w:tr>
        <w:tc>
          <w:tcPr>
            <w:tcW w:w="4680" w:type="dxa"/>
          </w:tcPr>
          <w:p>
            <w:pPr/>
            <w:r>
              <w:t xml:space="preserve">Acciones preventivas</w:t>
            </w:r>
          </w:p>
        </w:tc>
        <w:tc>
          <w:tcPr>
            <w:tcW w:w="4680" w:type="dxa"/>
          </w:tcPr>
          <w:p>
            <w:pPr/>
            <w:r>
              <w:t xml:space="preserve">Lista con responsable y fecha límite para cada una</w:t>
            </w:r>
          </w:p>
        </w:tc>
      </w:tr>
    </w:tbl>
    <w:p>
      <w:pPr>
        <w:pStyle w:val="Heading3"/>
      </w:pPr>
      <w:r>
        <w:t xml:space="preserve">6.3 Acciones preventivas</w:t>
      </w:r>
    </w:p>
    <w:p>
      <w:pPr/>
      <w:r>
        <w:rPr>
          <w:b/>
        </w:rPr>
        <w:t xml:space="preserve">Infraestructura:</w:t>
      </w:r>
    </w:p>
    <w:p>
      <w:pPr>
        <w:pStyle w:val="ListParagraph"/>
        <w:numPr>
          <w:ilvl w:val="0"/>
          <w:numId w:val="8"/>
        </w:numPr>
      </w:pPr>
      <w:r>
        <w:t xml:space="preserve">Autoescalado del servicio y de réplicas de lectura de la base antes de la próxima quincena</w:t>
      </w:r>
    </w:p>
    <w:p>
      <w:pPr>
        <w:pStyle w:val="ListParagraph"/>
        <w:numPr>
          <w:ilvl w:val="0"/>
          <w:numId w:val="8"/>
        </w:numPr>
      </w:pPr>
      <w:r>
        <w:t xml:space="preserve">Pruebas de carga periódicas que simulen el pico de 10 000 TPS</w:t>
      </w:r>
    </w:p>
    <w:p>
      <w:pPr>
        <w:pStyle w:val="ListParagraph"/>
        <w:numPr>
          <w:ilvl w:val="0"/>
          <w:numId w:val="8"/>
        </w:numPr>
      </w:pPr>
      <w:r>
        <w:t xml:space="preserve">Alertas proactivas sobre el pool de conexiones, no solo sobre errores ya ocurridos</w:t>
      </w:r>
    </w:p>
    <w:p>
      <w:pPr/>
      <w:r>
        <w:rPr>
          <w:b/>
        </w:rPr>
        <w:t xml:space="preserve">Código:</w:t>
      </w:r>
    </w:p>
    <w:p>
      <w:pPr>
        <w:pStyle w:val="ListParagraph"/>
        <w:numPr>
          <w:ilvl w:val="0"/>
          <w:numId w:val="9"/>
        </w:numPr>
      </w:pPr>
      <w:r>
        <w:t xml:space="preserve">Mantener el orden consistente de bloqueo (sección 1.4) como regla de revisión de código obligatoria en cualquier nueva operación que toque más de una cuenta</w:t>
      </w:r>
    </w:p>
    <w:p>
      <w:pPr>
        <w:pStyle w:val="ListParagraph"/>
        <w:numPr>
          <w:ilvl w:val="0"/>
          <w:numId w:val="9"/>
        </w:numPr>
      </w:pPr>
      <w:r>
        <w:t xml:space="preserve">Índices adecuados en las columnas usadas para búsqueda (</w:t>
      </w:r>
      <w:r>
        <w:rPr>
          <w:rStyle w:val="CodeChar"/>
        </w:rPr>
        <w:t xml:space="preserve">source_account_id</w:t>
      </w:r>
      <w:r>
        <w:t xml:space="preserve">, </w:t>
      </w:r>
      <w:r>
        <w:rPr>
          <w:rStyle w:val="CodeChar"/>
        </w:rPr>
        <w:t xml:space="preserve">destination_account_id</w:t>
      </w:r>
      <w:r>
        <w:t xml:space="preserve">, ya creados)</w:t>
      </w:r>
    </w:p>
    <w:p>
      <w:pPr>
        <w:pStyle w:val="ListParagraph"/>
        <w:numPr>
          <w:ilvl w:val="0"/>
          <w:numId w:val="9"/>
        </w:numPr>
      </w:pPr>
      <w:r>
        <w:t xml:space="preserve">Transacciones lo más cortas posible — nunca hacer llamadas de red (como a Bancs o a la IA) dentro de una transacción de base de datos abierta</w:t>
      </w:r>
    </w:p>
    <w:p>
      <w:pPr>
        <w:pStyle w:val="Heading2"/>
      </w:pPr>
      <w:r>
        <w:t xml:space="preserve">7. Seguridad transversal</w:t>
      </w:r>
    </w:p>
    <w:p>
      <w:pPr>
        <w:pStyle w:val="ListParagraph"/>
        <w:numPr>
          <w:ilvl w:val="0"/>
          <w:numId w:val="10"/>
        </w:numPr>
      </w:pPr>
      <w:r>
        <w:t xml:space="preserve">Credenciales de base de datos fuera del código: variables de entorno vía </w:t>
      </w:r>
      <w:r>
        <w:rPr>
          <w:rStyle w:val="CodeChar"/>
        </w:rPr>
        <w:t xml:space="preserve">.env</w:t>
      </w:r>
      <w:r>
        <w:t xml:space="preserve"> (excluido de Git con </w:t>
      </w:r>
      <w:r>
        <w:rPr>
          <w:rStyle w:val="CodeChar"/>
        </w:rPr>
        <w:t xml:space="preserve">.gitignore</w:t>
      </w:r>
      <w:r>
        <w:t xml:space="preserve">), nunca hardcodeadas en </w:t>
      </w:r>
      <w:r>
        <w:rPr>
          <w:rStyle w:val="CodeChar"/>
        </w:rPr>
        <w:t xml:space="preserve">docker-compose.yml</w:t>
      </w:r>
      <w:r>
        <w:t xml:space="preserve"> ni en </w:t>
      </w:r>
      <w:r>
        <w:rPr>
          <w:rStyle w:val="CodeChar"/>
        </w:rPr>
        <w:t xml:space="preserve">application.properties</w:t>
      </w:r>
      <w:r>
        <w:t xml:space="preserve">.</w:t>
      </w:r>
    </w:p>
    <w:p>
      <w:pPr>
        <w:pStyle w:val="ListParagraph"/>
        <w:numPr>
          <w:ilvl w:val="0"/>
          <w:numId w:val="10"/>
        </w:numPr>
      </w:pPr>
      <w:r>
        <w:rPr>
          <w:rStyle w:val="CodeChar"/>
        </w:rPr>
        <w:t xml:space="preserve">application.properties</w:t>
      </w:r>
      <w:r>
        <w:t xml:space="preserve"> usa </w:t>
      </w:r>
      <w:r>
        <w:rPr>
          <w:rStyle w:val="CodeChar"/>
        </w:rPr>
        <w:t xml:space="preserve">${VARIABLE:default}</w:t>
      </w:r>
      <w:r>
        <w:t xml:space="preserve"> — el repo no expone secretos reales.</w:t>
      </w:r>
    </w:p>
    <w:p>
      <w:pPr>
        <w:pStyle w:val="ListParagraph"/>
        <w:numPr>
          <w:ilvl w:val="0"/>
          <w:numId w:val="10"/>
        </w:numPr>
      </w:pPr>
      <w:r>
        <w:t xml:space="preserve">El </w:t>
      </w:r>
      <w:r>
        <w:rPr>
          <w:rStyle w:val="CodeChar"/>
        </w:rPr>
        <w:t xml:space="preserve">GlobalExceptionHandler</w:t>
      </w:r>
      <w:r>
        <w:t xml:space="preserve"> nunca devuelve al cliente el detalle interno de un error inesperado (stack trace, mensaje de SQL, rutas de archivo) — solo un mensaje genérico. Evita filtrar información que facilite un ataque.</w:t>
      </w:r>
    </w:p>
    <w:p>
      <w:pPr>
        <w:pStyle w:val="ListParagraph"/>
        <w:numPr>
          <w:ilvl w:val="0"/>
          <w:numId w:val="10"/>
        </w:numPr>
      </w:pPr>
      <w:r>
        <w:t xml:space="preserve">Validación de entrada (</w:t>
      </w:r>
      <w:r>
        <w:rPr>
          <w:rStyle w:val="CodeChar"/>
        </w:rPr>
        <w:t xml:space="preserve">jakarta.validation</w:t>
      </w:r>
      <w:r>
        <w:t xml:space="preserve">) en el DTO de la petición: montos deben ser positivos, campos obligatorios no pueden faltar.</w:t>
      </w:r>
    </w:p>
    <w:p>
      <w:pPr>
        <w:pStyle w:val="ListParagraph"/>
        <w:numPr>
          <w:ilvl w:val="0"/>
          <w:numId w:val="10"/>
        </w:numPr>
      </w:pPr>
      <w:r>
        <w:t xml:space="preserve">La idempotencia (sección 1.4) también es una medida de seguridad: evita que un reintento de red o un ataque de repetición (replay) duplique una transferencia.</w:t>
      </w:r>
    </w:p>
    <w:p>
      <w:pPr>
        <w:pStyle w:val="ListParagraph"/>
        <w:numPr>
          <w:ilvl w:val="0"/>
          <w:numId w:val="10"/>
        </w:numPr>
      </w:pPr>
      <w:r>
        <w:t xml:space="preserve">En producción (fuera del alcance de este MVP local): TLS/HTTPS en todos los endpoints, secretos gestionados por un vault (no archivos </w:t>
      </w:r>
      <w:r>
        <w:rPr>
          <w:rStyle w:val="CodeChar"/>
        </w:rPr>
        <w:t xml:space="preserve">.env</w:t>
      </w:r>
      <w:r>
        <w:t xml:space="preserve">), y autenticación/autorización por token en el endpoint de transacciones.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SmartBancs App — Documento Técnico</dc:title>
  <dc:description>Claude Docs node/6c0d4d14-f834@19 docx-w6</dc:description>
  <cp:revision>19</cp:revision>
</cp:coreProperties>
</file>