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Initial Codes for SES Quotes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Three dimensions: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How SES theoretically defined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provide definition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How SES operationalized</w:t>
      </w:r>
    </w:p>
    <w:p>
      <w:pPr>
        <w:pStyle w:val="Normal"/>
        <w:numPr>
          <w:ilvl w:val="1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Single indicator” = used only one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Multiple single indicators” = used more than one single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Dimension reduction” = used process to reduce multiple single indicators into fewer variables (e.g., from K=3 to K=2 or 1, where K is the number of variables referred to as SES)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“Formative” = used a dimension reduction technique wherein the indicators define the latent variable (e.g., PCA, WLS)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PCA” = principal components analysis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WLS” = weighted least squares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“Reflective: = used a dimension reduction technique wherein the latent variable defines (gives rise to) the indicators (e.g., CFA, EFA)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CFA” = confirmatory factor analysis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EFA” = exploratory factor analysis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“Other composite” = used a modeling strategy that doesn’t fall neatly into either of the above (e.g., equal weights could be either reflective or formative, Hollingshead, Duncan SEI)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Standardized mean” = all indicators standardized and average of the standardized indicators used as measure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Quintiles” = split continuous composite into five groups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Trichotomized” = split continuous composite into three groups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Normalized mean” = all indicators changed to same scale and average of normalized indicators used as measure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Logarithm” = logarithm of indicators used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Sum” = sum of indicators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Modifications to indicators: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Dichotomized” = made an otherwise non-binary indicator binary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Mixed” = mix of single indicator approaches and dimension reduction approaches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Reason for operationalization</w:t>
      </w:r>
    </w:p>
    <w:p>
      <w:pPr>
        <w:pStyle w:val="Normal"/>
        <w:numPr>
          <w:ilvl w:val="1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3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But some ideas from Kachmar et al. (2019):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Evidence-based” = using prior knowledge of relation between particular operationalization and particular outcome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Prior work” = prior research used same operationalization, but no stated relevance of operationalization to current study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Undetailed reason” = stated a rationale without justifying details or criterion [I don’t know what this means]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Protocol for writing codes: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No abbreviations or conjunctions other than SES (i.e., write “did not”, not “don’t”)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Capitalize the first letter of each code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Use spaces to separate words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Elaborating operationalizations: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In addition to recording the type of operationalization (e.g., “Multiple single indicators”), need to record content of operationalization (e.g., income, education)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Separate type from content using an underscore (i.e., “Single indicator_income”)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If writing a list of content, separate elements of list using hyphens (i.e., “Multiple single indicators_income-education-occupational prestige”)</w:t>
      </w:r>
    </w:p>
    <w:p>
      <w:pPr>
        <w:pStyle w:val="Normal"/>
        <w:numPr>
          <w:ilvl w:val="2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Within an element of a list, separate words using spaces (e.g., “occupational prestige”, not “occupationalPrestige” or something else)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Modifications are listed in brackets ([]) after the indicator to which they apply and separated by a space from the indicator (e.g., “income [dichotomized]”)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  <w:u w:val="none"/>
        </w:rPr>
        <w:t>Elaborating “Dimension reduction”: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Place type of dimension reduction in brackets ([]) next to after “Dimension reduction” (e.g., “Dimension reduction [Reflective]_income-education”)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Specific method of dimension reduction should follow general type, separated by a period (e.g., “Dimension reduction [Reflective.CFA]_income-education-employment”)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Elaborating “Other composite”:</w:t>
      </w:r>
    </w:p>
    <w:p>
      <w:pPr>
        <w:pStyle w:val="Normal"/>
        <w:numPr>
          <w:ilvl w:val="3"/>
          <w:numId w:val="5"/>
        </w:numPr>
        <w:jc w:val="left"/>
        <w:rPr/>
      </w:pPr>
      <w:r>
        <w:rPr>
          <w:rFonts w:ascii="Times New Roman" w:hAnsi="Times New Roman"/>
          <w:u w:val="none"/>
        </w:rPr>
        <w:t>For non-standard approaches (e.g., not using name-brand indices like Hollingshead or Duncan), indicate the modeling strategy used after “Other composite”, separated by a period (e.g., “Dimension reduction [Other composite.mean]_income-education”)</w:t>
      </w:r>
    </w:p>
    <w:p>
      <w:pPr>
        <w:pStyle w:val="Normal"/>
        <w:numPr>
          <w:ilvl w:val="3"/>
          <w:numId w:val="5"/>
        </w:numPr>
        <w:jc w:val="left"/>
        <w:rPr/>
      </w:pPr>
      <w:r>
        <w:rPr>
          <w:rFonts w:ascii="Times New Roman" w:hAnsi="Times New Roman"/>
          <w:u w:val="none"/>
        </w:rPr>
        <w:t>Each period represents a separate elaboration approach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cs="OpenSymbol"/>
    </w:rPr>
  </w:style>
  <w:style w:type="character" w:styleId="ListLabel12">
    <w:name w:val="ListLabel 12"/>
    <w:qFormat/>
    <w:rPr>
      <w:rFonts w:ascii="Times New Roman" w:hAnsi="Times New Roman" w:cs="OpenSymbol"/>
    </w:rPr>
  </w:style>
  <w:style w:type="character" w:styleId="ListLabel13">
    <w:name w:val="ListLabel 13"/>
    <w:qFormat/>
    <w:rPr>
      <w:rFonts w:ascii="Times New Roman" w:hAnsi="Times New Roman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 w:cs="OpenSymbol"/>
    </w:rPr>
  </w:style>
  <w:style w:type="character" w:styleId="ListLabel21">
    <w:name w:val="ListLabel 21"/>
    <w:qFormat/>
    <w:rPr>
      <w:rFonts w:ascii="Times New Roman" w:hAnsi="Times New Roman" w:cs="OpenSymbol"/>
    </w:rPr>
  </w:style>
  <w:style w:type="character" w:styleId="ListLabel22">
    <w:name w:val="ListLabel 22"/>
    <w:qFormat/>
    <w:rPr>
      <w:rFonts w:ascii="Times New Roman" w:hAnsi="Times New Roman" w:cs="OpenSymbol"/>
    </w:rPr>
  </w:style>
  <w:style w:type="character" w:styleId="ListLabel23">
    <w:name w:val="ListLabel 23"/>
    <w:qFormat/>
    <w:rPr>
      <w:rFonts w:ascii="Times New Roman" w:hAnsi="Times New Roman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ascii="Times New Roman" w:hAnsi="Times New Roman" w:cs="OpenSymbol"/>
    </w:rPr>
  </w:style>
  <w:style w:type="character" w:styleId="ListLabel30">
    <w:name w:val="ListLabel 30"/>
    <w:qFormat/>
    <w:rPr>
      <w:rFonts w:ascii="Times New Roman" w:hAnsi="Times New Roman"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LibreOffice/5.4.5.1$MacOSX_X86_64 LibreOffice_project/79c9829dd5d8054ec39a82dc51cd9eff340dbee8</Application>
  <Pages>2</Pages>
  <Words>613</Words>
  <Characters>3508</Characters>
  <CharactersWithSpaces>4016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2020-05-25T14:14:39Z</dcterms:created>
  <dc:creator/>
  <dc:description/>
  <dc:language>en-US</dc:language>
  <cp:lastModifiedBy/>
  <dcterms:modified xsi:type="dcterms:W3CDTF">2020-05-25T22:04:16Z</dcterms:modified>
  <cp:revision>12</cp:revision>
  <dc:subject/>
  <dc:title/>
</cp:coreProperties>
</file>