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5"/>
          <w:numId w:val="4"/>
        </w:numPr>
        <w:jc w:val="left"/>
        <w:rPr/>
      </w:pPr>
      <w:r>
        <w:rPr>
          <w:rFonts w:ascii="Times New Roman" w:hAnsi="Times New Roman"/>
          <w:u w:val="none"/>
        </w:rPr>
        <w:t>e.g., “Although household income is a relatively crude measure of SES,compared with measures involving multiple indicators (e.g., education andoccupation), it has nevertheless been shown to predict important outcomes(for a review, see Krieger, Williams, &amp; Moss, 1997).”</w:t>
      </w:r>
    </w:p>
    <w:p>
      <w:pPr>
        <w:pStyle w:val="Normal"/>
        <w:numPr>
          <w:ilvl w:val="5"/>
          <w:numId w:val="4"/>
        </w:numPr>
        <w:jc w:val="left"/>
        <w:rPr/>
      </w:pPr>
      <w:r>
        <w:rPr>
          <w:rFonts w:ascii="Times New Roman" w:hAnsi="Times New Roman"/>
          <w:u w:val="none"/>
        </w:rPr>
        <w:t>e.g., “The importance of social class rank perceptions is evident in health psychology research: Relatively lower-class individuals tend to show poorer health and well-being trajectories than do their upper-class counterparts (Adler et al., 1994). Moreover, when researchers measure social class using both objective resource indicators (e.g., income) and subjective perceptions of rank— assessed by ranking oneself on a 10-rung ladder representing socioeconomic status in society (Adler, Epel, Castellazzo, &amp; Ick- ovics, 2000)—the subjective perceptions emerge as the consis- tently stronger predictor of patterns of both self-rated health (e.g., “In general, my health is good”; Adler et al., 2000) and mortality (Kopp, Skrabski, Réthelyi, Kawachi, &amp; Adler, 2004).”</w:t>
      </w:r>
    </w:p>
    <w:p>
      <w:pPr>
        <w:pStyle w:val="Normal"/>
        <w:numPr>
          <w:ilvl w:val="5"/>
          <w:numId w:val="4"/>
        </w:numPr>
        <w:jc w:val="left"/>
        <w:rPr/>
      </w:pPr>
      <w:r>
        <w:rPr>
          <w:rFonts w:ascii="Times New Roman" w:hAnsi="Times New Roman"/>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5"/>
          <w:numId w:val="4"/>
        </w:numPr>
        <w:jc w:val="left"/>
        <w:rPr/>
      </w:pPr>
      <w:r>
        <w:rPr>
          <w:rFonts w:ascii="Times New Roman" w:hAnsi="Times New Roman"/>
          <w:u w:val="none"/>
        </w:rPr>
        <w:t>e.g., “A</w:t>
      </w:r>
      <w:r>
        <w:rPr>
          <w:rFonts w:ascii="Times New Roman" w:hAnsi="Times New Roman"/>
          <w:u w:val="none"/>
        </w:rPr>
        <w:t xml:space="preserve">lthough social class has been measured using both income and education levels (Anderson, Kraus, Galinsky, &amp; Keltner, 2012a), to the extent that differences in unethical behavior are ultimately driven by under- lying differences in power, which is control over resources (Ga- linsky, Rucker, &amp; Magee, 2015; Magee &amp; Galinsky, 2008), we propose that income will predict unethical behavior more strongly than will education." </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5"/>
          <w:numId w:val="4"/>
        </w:numPr>
        <w:jc w:val="left"/>
        <w:rPr/>
      </w:pPr>
      <w:r>
        <w:rPr>
          <w:rFonts w:ascii="Times New Roman" w:hAnsi="Times New Roman"/>
          <w:u w:val="none"/>
        </w:rPr>
        <w:t>e.g., “</w:t>
      </w:r>
      <w:r>
        <w:rPr>
          <w:rFonts w:ascii="Times New Roman" w:hAnsi="Times New Roman"/>
          <w:sz w:val="24"/>
          <w:szCs w:val="24"/>
          <w:u w:val="none"/>
        </w:rPr>
        <w:t>In order to create an index ofsocioeconomic risk, we followed previous guidelines (Conger etal., 2010;Dearing, McCartney, &amp; Taylor, 2001) and created acomposite variable comprised of a family income-to-needs ratio,maternal education, and maternal report of level of chaos in theneighborhood”</w:t>
      </w:r>
    </w:p>
    <w:p>
      <w:pPr>
        <w:pStyle w:val="Normal"/>
        <w:numPr>
          <w:ilvl w:val="5"/>
          <w:numId w:val="4"/>
        </w:numPr>
        <w:jc w:val="left"/>
        <w:rPr/>
      </w:pPr>
      <w:r>
        <w:rPr>
          <w:rFonts w:ascii="Times New Roman" w:hAnsi="Times New Roman"/>
          <w:sz w:val="24"/>
          <w:szCs w:val="24"/>
          <w:u w:val="none"/>
        </w:rPr>
        <w:t xml:space="preserve">e.g., </w:t>
      </w:r>
      <w:r>
        <w:rPr>
          <w:rFonts w:ascii="Times New Roman" w:hAnsi="Times New Roman"/>
          <w:sz w:val="24"/>
          <w:szCs w:val="24"/>
          <w:u w:val="none"/>
        </w:rPr>
        <w:t>“Socio- economic position is a component of social class (Adler et al., 2000; Kraus et al., 2009), and our manipulation of perceptions of relative socioeconomic standing is conceptually similar to manip- ulations of cultural identity constructs (e.g., individualism– collectivism) used in previous research (e.g., Oyserman &amp; Lee, 2008).”</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or works similarly to,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4"/>
          <w:numId w:val="4"/>
        </w:numPr>
        <w:jc w:val="left"/>
        <w:rPr/>
      </w:pPr>
      <w:r>
        <w:rPr>
          <w:rFonts w:ascii="Times New Roman" w:hAnsi="Times New Roman"/>
          <w:u w:val="none"/>
        </w:rPr>
        <w:t>e.g., “Previous research shows that measures of subjective SES predict patterns in health (e.g., Adler et al., 2000) and explanations of social events (Kraus et al., 2009) consistent with measures of social class that index the construct by assessing wealth and educational attainment.”</w:t>
      </w:r>
    </w:p>
    <w:p>
      <w:pPr>
        <w:pStyle w:val="Normal"/>
        <w:numPr>
          <w:ilvl w:val="4"/>
          <w:numId w:val="4"/>
        </w:numPr>
        <w:jc w:val="left"/>
        <w:rPr/>
      </w:pPr>
      <w:r>
        <w:rPr>
          <w:rFonts w:ascii="Times New Roman" w:hAnsi="Times New Roman"/>
          <w:u w:val="none"/>
        </w:rPr>
        <w:t>e.g., “"Pilot data within a nationally collected online community sample (n 81), demonstrated this particular measure of social class was correlated with household income, a more objective measure of the construct, r .51, p .001.”</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4"/>
          <w:numId w:val="4"/>
        </w:numPr>
        <w:jc w:val="left"/>
        <w:rPr/>
      </w:pPr>
      <w:r>
        <w:rPr>
          <w:rFonts w:ascii="Times New Roman" w:hAnsi="Times New Roman"/>
          <w:u w:val="none"/>
        </w:rPr>
        <w:t>e.g., “Finally, Brown and colleagues (1996) suggested that social class is a psychological phenomenon given its relational nature (e.g., a person identifies with a group of people) and that each person has a social class identity. Given the psychological basis of social class identity, Brown and colleagues further argued that indices of social class that simply assess income, educational attainment, and occupational prestige miss this identity dimension of social class and thus are incomplete measures of social class.”</w:t>
      </w:r>
    </w:p>
    <w:p>
      <w:pPr>
        <w:pStyle w:val="Normal"/>
        <w:numPr>
          <w:ilvl w:val="4"/>
          <w:numId w:val="4"/>
        </w:numPr>
        <w:jc w:val="left"/>
        <w:rPr/>
      </w:pPr>
      <w:r>
        <w:rPr>
          <w:rFonts w:ascii="Times New Roman" w:hAnsi="Times New Roman"/>
          <w:u w:val="none"/>
        </w:rPr>
        <w:t>e.g., “</w:t>
      </w:r>
      <w:r>
        <w:rPr>
          <w:rFonts w:ascii="Times New Roman" w:hAnsi="Times New Roman"/>
          <w:u w:val="none"/>
        </w:rPr>
        <w:t>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w:t>
      </w:r>
      <w:r>
        <w:rPr>
          <w:rFonts w:ascii="Times New Roman" w:hAnsi="Times New Roman"/>
          <w:u w:val="none"/>
        </w:rPr>
        <w:t>”</w:t>
      </w:r>
    </w:p>
    <w:p>
      <w:pPr>
        <w:pStyle w:val="Normal"/>
        <w:numPr>
          <w:ilvl w:val="4"/>
          <w:numId w:val="4"/>
        </w:numPr>
        <w:jc w:val="left"/>
        <w:rPr>
          <w:rFonts w:ascii="Times New Roman" w:hAnsi="Times New Roman"/>
          <w:sz w:val="24"/>
          <w:szCs w:val="24"/>
          <w:u w:val="none"/>
        </w:rPr>
      </w:pPr>
      <w:r>
        <w:rPr>
          <w:rFonts w:ascii="Times New Roman" w:hAnsi="Times New Roman"/>
          <w:sz w:val="24"/>
          <w:szCs w:val="24"/>
          <w:u w:val="none"/>
        </w:rPr>
        <w:t xml:space="preserve">e.g., </w:t>
      </w:r>
      <w:r>
        <w:rPr>
          <w:rFonts w:ascii="Times New Roman" w:hAnsi="Times New Roman"/>
          <w:sz w:val="24"/>
          <w:szCs w:val="24"/>
          <w:u w:val="none"/>
        </w:rPr>
        <w:t>“</w:t>
      </w:r>
      <w:r>
        <w:rPr>
          <w:rFonts w:ascii="Times New Roman" w:hAnsi="Times New Roman"/>
          <w:sz w:val="24"/>
          <w:szCs w:val="24"/>
          <w:u w:val="none"/>
        </w:rPr>
        <w:t>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w:t>
      </w:r>
      <w:r>
        <w:rPr>
          <w:rFonts w:ascii="Times New Roman" w:hAnsi="Times New Roman"/>
          <w:sz w:val="24"/>
          <w:szCs w:val="24"/>
          <w:u w:val="none"/>
        </w:rPr>
        <w:t xml:space="preserve">” </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4"/>
          <w:numId w:val="4"/>
        </w:numPr>
        <w:jc w:val="left"/>
        <w:rPr/>
      </w:pPr>
      <w:r>
        <w:rPr>
          <w:rFonts w:ascii="Times New Roman" w:hAnsi="Times New Roman"/>
          <w:u w:val="none"/>
        </w:rPr>
        <w:t xml:space="preserve">e.g., "Demographic data revealed that all racial/ethnic groups had approximately equivalent parental incomes with the exception of Latinos, who as a group had the lowest parental incomes. Consistent with this, research has shown that Latinos are typically viewed by Whites as poor (Goodwin &amp; Fiske, 1996) and low in social status (Jost, Pelham, &amp; Carvallo, 2002). </w:t>
      </w:r>
      <w:r>
        <w:rPr>
          <w:rFonts w:ascii="Times New Roman" w:hAnsi="Times New Roman"/>
          <w:sz w:val="24"/>
          <w:szCs w:val="24"/>
          <w:u w:val="none"/>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p>
    <w:p>
      <w:pPr>
        <w:pStyle w:val="Normal"/>
        <w:numPr>
          <w:ilvl w:val="4"/>
          <w:numId w:val="4"/>
        </w:numPr>
        <w:jc w:val="left"/>
        <w:rPr/>
      </w:pPr>
      <w:r>
        <w:rPr>
          <w:rFonts w:ascii="Times New Roman" w:hAnsi="Times New Roman"/>
          <w:sz w:val="24"/>
          <w:szCs w:val="24"/>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e.g., “SES variables wereselected based on their relative stability overtime and specific relation to health disparityintervention research (Shavers, 2007).”</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“The relatively stable contextual factors of family-of-origin SES (education and occupation) and income were tested because they were hypothesized to relate to ongoing developmental contextual risk for the youth.”</w:t>
      </w:r>
    </w:p>
    <w:p>
      <w:pPr>
        <w:pStyle w:val="Normal"/>
        <w:numPr>
          <w:ilvl w:val="4"/>
          <w:numId w:val="4"/>
        </w:numPr>
        <w:jc w:val="left"/>
        <w:rPr/>
      </w:pPr>
      <w:r>
        <w:rPr>
          <w:rFonts w:ascii="Times New Roman" w:hAnsi="Times New Roman"/>
          <w:sz w:val="24"/>
          <w:szCs w:val="24"/>
          <w:u w:val="none"/>
        </w:rPr>
        <w:t xml:space="preserve">e.g., </w:t>
      </w:r>
      <w:r>
        <w:rPr>
          <w:rFonts w:ascii="Times New Roman" w:hAnsi="Times New Roman"/>
          <w:sz w:val="24"/>
          <w:szCs w:val="24"/>
          <w:u w:val="none"/>
        </w:rPr>
        <w:t>"Although similar patterns were observed across all the indices of SES, cultural differences were largest for education. Among indi- ces of SES, educational attainment has often been suggested to be the best indicator because it predicts future job characteristics and income and is most closely associated with values and psycholog- ical tendencies (Stephens, Fryberg, &amp; Markus, 2012). Education likely plays the key role in instilling culturally sanctioned tasks associated with SES."</w:t>
      </w:r>
    </w:p>
    <w:p>
      <w:pPr>
        <w:pStyle w:val="Normal"/>
        <w:numPr>
          <w:ilvl w:val="4"/>
          <w:numId w:val="4"/>
        </w:numPr>
        <w:jc w:val="left"/>
        <w:rPr/>
      </w:pPr>
      <w:r>
        <w:rPr>
          <w:rFonts w:ascii="Times New Roman" w:hAnsi="Times New Roman"/>
          <w:sz w:val="24"/>
          <w:szCs w:val="24"/>
          <w:u w:val="none"/>
        </w:rPr>
        <w:t>e.g., “</w:t>
      </w:r>
      <w:r>
        <w:rPr>
          <w:rFonts w:ascii="Times New Roman" w:hAnsi="Times New Roman"/>
          <w:sz w:val="24"/>
          <w:szCs w:val="24"/>
          <w:u w:val="none"/>
        </w:rPr>
        <w:t>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 and (c) among the three commonly used indicators of social class status (education, income, occupation), education is the best predictor of a wide range of beliefs (Davis, 1994) and is the most closely associated with lifestyle, behavior, and psychological functioning (Kohn &amp; Schooler, 1983; Matthews, Kelsey, Meilahn, Kuller, &amp; Wing, 1989; Snibbe &amp; Markus, 2005)." (p. 1179); "Specifically, middle-class contexts are characterized by access to economic capital, geographic mobility, and ample opportunities for choice, control, and influence (Kohn, 1969; Patillo-McCoy, 1999). These material realities also promote socialization practices that convey to children a sense of self-importance and individual entitlement (Miller, Cho, &amp; Bracey, 2005)... Specifically, working-class contexts are characterized by limited economic cap- ital, environmental constraints and uncertainty, and few opportu- nities for choice, control, and influence (Chen &amp; Matthews, 2001; Lachman &amp; Weaver, 1998; Reay, Davies, David, &amp; Ball, 2001)... These working-class realities often promote socialization practices that encourage children to recognize their place in the social hierarchy, to follow the rules and social norms, and to be responsive to others’ needs (Fiske &amp; Markus, in press; Kohn, 1969; Kusserow, 1999; Lamont, 2000; Piff, Kraus, Coˆte ́, Cheng, &amp; Keltner, 2010; Stephens et al., 2011)."</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Prior work” = prior research used same operationalization [modeling procedure], but no stated relevance of operationalization to current study</w:t>
      </w:r>
    </w:p>
    <w:p>
      <w:pPr>
        <w:pStyle w:val="Normal"/>
        <w:numPr>
          <w:ilvl w:val="4"/>
          <w:numId w:val="4"/>
        </w:numPr>
        <w:jc w:val="left"/>
        <w:rPr/>
      </w:pPr>
      <w:r>
        <w:rPr>
          <w:rFonts w:ascii="Times New Roman" w:hAnsi="Times New Roman"/>
          <w:b w:val="false"/>
          <w:bCs w:val="false"/>
          <w:u w:val="none"/>
        </w:rPr>
        <w:t xml:space="preserve">e.g., </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4"/>
          <w:numId w:val="4"/>
        </w:numPr>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e.g., "Similar risk composites have previously been used in studies with low-income, minority samples (e.g., Li-Grining, 2007)." </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b w:val="false"/>
          <w:b w:val="false"/>
          <w:bCs w:val="false"/>
        </w:rPr>
      </w:pPr>
      <w:r>
        <w:rPr>
          <w:rFonts w:ascii="Times New Roman" w:hAnsi="Times New Roman"/>
          <w:b w:val="false"/>
          <w:bCs w:val="false"/>
          <w:sz w:val="24"/>
          <w:szCs w:val="24"/>
          <w:u w:val="none"/>
        </w:rPr>
        <w:t>e.g., “Family income and SES weresignificantly associated (r.41,p.01) and therefore were combined bytaking the mean of their standardized scores to arrive at a global measureof SES/income over Study Years 3, 5, and 7.”</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numPr>
          <w:ilvl w:val="4"/>
          <w:numId w:val="4"/>
        </w:numPr>
        <w:jc w:val="left"/>
        <w:rPr/>
      </w:pPr>
      <w:r>
        <w:rPr>
          <w:rFonts w:ascii="Times New Roman" w:hAnsi="Times New Roman"/>
          <w:b w:val="false"/>
          <w:bCs w:val="false"/>
          <w:sz w:val="24"/>
          <w:szCs w:val="24"/>
          <w:u w:val="none"/>
        </w:rPr>
        <w:t xml:space="preserve">e.g., </w:t>
      </w:r>
      <w:r>
        <w:rPr>
          <w:rFonts w:ascii="Times New Roman" w:hAnsi="Times New Roman"/>
          <w:b w:val="false"/>
          <w:bCs w:val="false"/>
          <w:sz w:val="24"/>
          <w:szCs w:val="24"/>
          <w:u w:val="none"/>
        </w:rPr>
        <w:t>"However, SES can be indexed by a wide range of variables, including material wealth and occupational conditions. Because World Values Survey (WVS) offered these SES indices, we ex- plored how the patterns of the results might differ across different indices of SES by testing multiple facets of SES in Study 2a."</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Maximize prediction” = Modeling procedure chosen because thought to maximize predictive ability for outcome</w:t>
      </w:r>
    </w:p>
    <w:p>
      <w:pPr>
        <w:pStyle w:val="Normal"/>
        <w:numPr>
          <w:ilvl w:val="4"/>
          <w:numId w:val="4"/>
        </w:numPr>
        <w:jc w:val="left"/>
        <w:rPr/>
      </w:pPr>
      <w:r>
        <w:rPr>
          <w:rFonts w:ascii="Times New Roman" w:hAnsi="Times New Roman"/>
          <w:b w:val="false"/>
          <w:bCs w:val="false"/>
          <w:sz w:val="24"/>
          <w:szCs w:val="24"/>
          <w:u w:val="none"/>
        </w:rPr>
        <w:t xml:space="preserve">e.g., "It is widely recognized that risk factors such as poverty, sin- gle parenthood, low parental education, and unemployment often occur together (Masten et al., 1995) and are generally more predictive when examined cumulatively (Burchinal, Vernon-Feagans, Cox, &amp; Key Family Life Project Investigators, 2008)." </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ascii="Times New Roman" w:hAnsi="Times New Roman"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ascii="Times New Roman" w:hAnsi="Times New Roman"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rPr>
  </w:style>
  <w:style w:type="character" w:styleId="ListLabel283">
    <w:name w:val="ListLabel 283"/>
    <w:qFormat/>
    <w:rPr>
      <w:rFonts w:ascii="Times New Roman" w:hAnsi="Times New Roman" w:cs="OpenSymbol"/>
      <w:b w:val="false"/>
    </w:rPr>
  </w:style>
  <w:style w:type="character" w:styleId="ListLabel284">
    <w:name w:val="ListLabel 284"/>
    <w:qFormat/>
    <w:rPr>
      <w:rFonts w:cs="OpenSymbol"/>
      <w:b w:val="false"/>
      <w:sz w:val="24"/>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ascii="Times New Roman" w:hAnsi="Times New Roman" w:cs="OpenSymbol"/>
    </w:rPr>
  </w:style>
  <w:style w:type="character" w:styleId="ListLabel300">
    <w:name w:val="ListLabel 300"/>
    <w:qFormat/>
    <w:rPr>
      <w:rFonts w:ascii="Times New Roman" w:hAnsi="Times New Roman"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cs="OpenSymbol"/>
    </w:rPr>
  </w:style>
  <w:style w:type="character" w:styleId="ListLabel309">
    <w:name w:val="ListLabel 309"/>
    <w:qFormat/>
    <w:rPr>
      <w:rFonts w:ascii="Times New Roman" w:hAnsi="Times New Roman"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b/>
    </w:rPr>
  </w:style>
  <w:style w:type="character" w:styleId="ListLabel328">
    <w:name w:val="ListLabel 328"/>
    <w:qFormat/>
    <w:rPr>
      <w:rFonts w:ascii="Times New Roman" w:hAnsi="Times New Roman" w:cs="OpenSymbol"/>
      <w:b w:val="false"/>
    </w:rPr>
  </w:style>
  <w:style w:type="character" w:styleId="ListLabel329">
    <w:name w:val="ListLabel 329"/>
    <w:qFormat/>
    <w:rPr>
      <w:rFonts w:ascii="Times New Roman" w:hAnsi="Times New Roman" w:cs="OpenSymbol"/>
      <w:b w:val="false"/>
      <w:sz w:val="24"/>
    </w:rPr>
  </w:style>
  <w:style w:type="character" w:styleId="ListLabel330">
    <w:name w:val="ListLabel 330"/>
    <w:qFormat/>
    <w:rPr>
      <w:rFonts w:ascii="Times New Roman" w:hAnsi="Times New Roman"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ascii="Times New Roman" w:hAnsi="Times New Roman" w:cs="OpenSymbol"/>
    </w:rPr>
  </w:style>
  <w:style w:type="character" w:styleId="ListLabel345">
    <w:name w:val="ListLabel 345"/>
    <w:qFormat/>
    <w:rPr>
      <w:rFonts w:ascii="Times New Roman" w:hAnsi="Times New Roman"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2515</TotalTime>
  <Application>LibreOffice/5.4.5.1$MacOSX_X86_64 LibreOffice_project/79c9829dd5d8054ec39a82dc51cd9eff340dbee8</Application>
  <Pages>9</Pages>
  <Words>3349</Words>
  <Characters>19102</Characters>
  <CharactersWithSpaces>22202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2020-06-07T12:56:36Z</dcterms:modified>
  <cp:revision>60</cp:revision>
  <dc:subject/>
  <dc:title/>
</cp:coreProperties>
</file>