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Times New Roman" w:hAnsi="Times New Roman"/>
          <w:u w:val="single"/>
        </w:rPr>
        <w:t>Initial Codes for SES Quotes</w:t>
      </w:r>
    </w:p>
    <w:p>
      <w:pPr>
        <w:pStyle w:val="Normal"/>
        <w:jc w:val="left"/>
        <w:rPr>
          <w:rFonts w:ascii="Times New Roman" w:hAnsi="Times New Roman"/>
          <w:u w:val="none"/>
        </w:rPr>
      </w:pPr>
      <w:r>
        <w:rPr>
          <w:rFonts w:ascii="Times New Roman" w:hAnsi="Times New Roman"/>
          <w:u w:val="none"/>
        </w:rPr>
        <w:t>Three dimensions:</w:t>
      </w:r>
    </w:p>
    <w:p>
      <w:pPr>
        <w:pStyle w:val="Normal"/>
        <w:numPr>
          <w:ilvl w:val="0"/>
          <w:numId w:val="1"/>
        </w:numPr>
        <w:jc w:val="left"/>
        <w:rPr>
          <w:rFonts w:ascii="Times New Roman" w:hAnsi="Times New Roman"/>
          <w:u w:val="none"/>
        </w:rPr>
      </w:pPr>
      <w:r>
        <w:rPr>
          <w:rFonts w:ascii="Times New Roman" w:hAnsi="Times New Roman"/>
          <w:u w:val="none"/>
        </w:rPr>
        <w:t>How SES theoretically defined</w:t>
      </w:r>
    </w:p>
    <w:p>
      <w:pPr>
        <w:pStyle w:val="Normal"/>
        <w:numPr>
          <w:ilvl w:val="1"/>
          <w:numId w:val="2"/>
        </w:numPr>
        <w:jc w:val="left"/>
        <w:rPr>
          <w:rFonts w:ascii="Times New Roman" w:hAnsi="Times New Roman"/>
          <w:u w:val="none"/>
        </w:rPr>
      </w:pPr>
      <w:r>
        <w:rPr>
          <w:rFonts w:ascii="Times New Roman" w:hAnsi="Times New Roman"/>
          <w:u w:val="none"/>
        </w:rPr>
        <w:t>Categories:</w:t>
      </w:r>
    </w:p>
    <w:p>
      <w:pPr>
        <w:pStyle w:val="Normal"/>
        <w:numPr>
          <w:ilvl w:val="2"/>
          <w:numId w:val="2"/>
        </w:numPr>
        <w:jc w:val="left"/>
        <w:rPr>
          <w:rFonts w:ascii="Times New Roman" w:hAnsi="Times New Roman"/>
          <w:u w:val="none"/>
        </w:rPr>
      </w:pPr>
      <w:r>
        <w:rPr>
          <w:rFonts w:ascii="Times New Roman" w:hAnsi="Times New Roman"/>
          <w:u w:val="none"/>
        </w:rPr>
        <w:t>“</w:t>
      </w:r>
      <w:r>
        <w:rPr>
          <w:rFonts w:ascii="Times New Roman" w:hAnsi="Times New Roman"/>
          <w:u w:val="none"/>
        </w:rPr>
        <w:t>None given” = didn’t provide definition</w:t>
      </w:r>
    </w:p>
    <w:p>
      <w:pPr>
        <w:pStyle w:val="Normal"/>
        <w:numPr>
          <w:ilvl w:val="2"/>
          <w:numId w:val="2"/>
        </w:numPr>
        <w:jc w:val="left"/>
        <w:rPr/>
      </w:pPr>
      <w:r>
        <w:rPr>
          <w:rFonts w:ascii="Times New Roman" w:hAnsi="Times New Roman"/>
          <w:u w:val="none"/>
        </w:rPr>
        <w:t>Remainder will be inferred from the data (no categories to start with)</w:t>
      </w:r>
    </w:p>
    <w:p>
      <w:pPr>
        <w:pStyle w:val="Normal"/>
        <w:numPr>
          <w:ilvl w:val="1"/>
          <w:numId w:val="2"/>
        </w:numPr>
        <w:jc w:val="left"/>
        <w:rPr/>
      </w:pPr>
      <w:r>
        <w:rPr>
          <w:rFonts w:ascii="Times New Roman" w:hAnsi="Times New Roman"/>
          <w:u w:val="none"/>
        </w:rPr>
        <w:t>Categories inferred from data:</w:t>
      </w:r>
    </w:p>
    <w:p>
      <w:pPr>
        <w:pStyle w:val="Normal"/>
        <w:numPr>
          <w:ilvl w:val="2"/>
          <w:numId w:val="2"/>
        </w:numPr>
        <w:jc w:val="left"/>
        <w:rPr>
          <w:b/>
          <w:b/>
          <w:bCs/>
        </w:rPr>
      </w:pPr>
      <w:r>
        <w:rPr>
          <w:rFonts w:ascii="Times New Roman" w:hAnsi="Times New Roman"/>
          <w:b/>
          <w:bCs/>
          <w:u w:val="none"/>
        </w:rPr>
        <w:t>Note:</w:t>
      </w:r>
      <w:r>
        <w:rPr>
          <w:rFonts w:ascii="Times New Roman" w:hAnsi="Times New Roman"/>
          <w:b w:val="false"/>
          <w:bCs w:val="false"/>
          <w:u w:val="none"/>
        </w:rPr>
        <w:t xml:space="preserve"> Multiple codes may apply to a single definition</w:t>
      </w:r>
      <w:r>
        <w:rPr>
          <w:rFonts w:ascii="Times New Roman" w:hAnsi="Times New Roman"/>
          <w:b w:val="false"/>
          <w:bCs w:val="false"/>
          <w:i w:val="false"/>
          <w:iCs w:val="false"/>
          <w:u w:val="none"/>
        </w:rPr>
        <w:t>. These codes reflect themes present in the definitions, rather than all-encompassing groupings of definitions. Occasionally, definitions include multiple themes, so relaxing the one-code-per-definition rule was necessary.</w:t>
      </w:r>
    </w:p>
    <w:p>
      <w:pPr>
        <w:pStyle w:val="Normal"/>
        <w:numPr>
          <w:ilvl w:val="2"/>
          <w:numId w:val="2"/>
        </w:numPr>
        <w:jc w:val="left"/>
        <w:rPr/>
      </w:pPr>
      <w:r>
        <w:rPr>
          <w:rFonts w:ascii="Times New Roman" w:hAnsi="Times New Roman"/>
          <w:u w:val="none"/>
        </w:rPr>
        <w:t>“</w:t>
      </w:r>
      <w:r>
        <w:rPr>
          <w:rFonts w:ascii="Times New Roman" w:hAnsi="Times New Roman"/>
          <w:u w:val="none"/>
        </w:rPr>
        <w:t>Position in hierarchy” = Defines SES as an individual’s position within a societal hierarchy</w:t>
      </w:r>
    </w:p>
    <w:p>
      <w:pPr>
        <w:pStyle w:val="Normal"/>
        <w:numPr>
          <w:ilvl w:val="3"/>
          <w:numId w:val="2"/>
        </w:numPr>
        <w:jc w:val="left"/>
        <w:rPr/>
      </w:pPr>
      <w:r>
        <w:rPr>
          <w:rFonts w:ascii="Times New Roman" w:hAnsi="Times New Roman"/>
          <w:u w:val="none"/>
        </w:rPr>
        <w:t>e.g., “Childhood SES reflects the social standing of individuals or groups in the social hierarchy during childhood”</w:t>
      </w:r>
    </w:p>
    <w:p>
      <w:pPr>
        <w:pStyle w:val="Normal"/>
        <w:numPr>
          <w:ilvl w:val="2"/>
          <w:numId w:val="2"/>
        </w:numPr>
        <w:jc w:val="left"/>
        <w:rPr/>
      </w:pPr>
      <w:r>
        <w:rPr>
          <w:rFonts w:ascii="Times New Roman" w:hAnsi="Times New Roman"/>
          <w:u w:val="none"/>
        </w:rPr>
        <w:t>“</w:t>
      </w:r>
      <w:r>
        <w:rPr>
          <w:rFonts w:ascii="Times New Roman" w:hAnsi="Times New Roman"/>
          <w:u w:val="none"/>
        </w:rPr>
        <w:t>Proxy for causal mechanisms” = Defines SES as a measure that approximates/collects actual causes of some outcome</w:t>
      </w:r>
    </w:p>
    <w:p>
      <w:pPr>
        <w:pStyle w:val="Normal"/>
        <w:numPr>
          <w:ilvl w:val="3"/>
          <w:numId w:val="2"/>
        </w:numPr>
        <w:jc w:val="left"/>
        <w:rPr/>
      </w:pPr>
      <w:r>
        <w:rPr>
          <w:rFonts w:ascii="Times New Roman" w:hAnsi="Times New Roman"/>
          <w:u w:val="none"/>
        </w:rPr>
        <w:t>e.g., “As Kirby and Hogan (2008) argue, SES is, at best, a proxy measure that in fact represents a spectrum of factors which may or may not have causal effects on reading skills or prerequisite skills.”</w:t>
      </w:r>
    </w:p>
    <w:p>
      <w:pPr>
        <w:pStyle w:val="Normal"/>
        <w:numPr>
          <w:ilvl w:val="2"/>
          <w:numId w:val="2"/>
        </w:numPr>
        <w:jc w:val="left"/>
        <w:rPr/>
      </w:pPr>
      <w:r>
        <w:rPr>
          <w:rFonts w:ascii="Times New Roman" w:hAnsi="Times New Roman"/>
          <w:u w:val="none"/>
        </w:rPr>
        <w:t>“</w:t>
      </w:r>
      <w:r>
        <w:rPr>
          <w:rFonts w:ascii="Times New Roman" w:hAnsi="Times New Roman"/>
          <w:u w:val="none"/>
        </w:rPr>
        <w:t>Result of inequality” = Define SES as the result of inequality</w:t>
      </w:r>
    </w:p>
    <w:p>
      <w:pPr>
        <w:pStyle w:val="Normal"/>
        <w:numPr>
          <w:ilvl w:val="3"/>
          <w:numId w:val="2"/>
        </w:numPr>
        <w:jc w:val="left"/>
        <w:rPr/>
      </w:pPr>
      <w:r>
        <w:rPr>
          <w:rFonts w:ascii="Times New Roman" w:hAnsi="Times New Roman"/>
          <w:u w:val="none"/>
        </w:rPr>
        <w:t>e.g., “</w:t>
      </w:r>
      <w:r>
        <w:rPr>
          <w:rFonts w:ascii="Times New Roman" w:hAnsi="Times New Roman"/>
          <w:b w:val="false"/>
          <w:bCs w:val="false"/>
          <w:u w:val="none"/>
        </w:rPr>
        <w:t>This wealth inequality yields differences in people’s relative social ranks that can be referred to by either social class or socioeconomic status (SES)”</w:t>
      </w:r>
    </w:p>
    <w:p>
      <w:pPr>
        <w:pStyle w:val="Normal"/>
        <w:numPr>
          <w:ilvl w:val="2"/>
          <w:numId w:val="2"/>
        </w:numPr>
        <w:jc w:val="left"/>
        <w:rPr/>
      </w:pPr>
      <w:r>
        <w:rPr>
          <w:rFonts w:ascii="Times New Roman" w:hAnsi="Times New Roman"/>
          <w:u w:val="none"/>
        </w:rPr>
        <w:t>“</w:t>
      </w:r>
      <w:r>
        <w:rPr>
          <w:rFonts w:ascii="Times New Roman" w:hAnsi="Times New Roman"/>
          <w:u w:val="none"/>
        </w:rPr>
        <w:t>Material resources” = Define SES as consisting of, in part or whole, possession of material resources (e.g., income, wealth, household objects)</w:t>
      </w:r>
    </w:p>
    <w:p>
      <w:pPr>
        <w:pStyle w:val="Normal"/>
        <w:numPr>
          <w:ilvl w:val="3"/>
          <w:numId w:val="2"/>
        </w:numPr>
        <w:jc w:val="left"/>
        <w:rPr/>
      </w:pPr>
      <w:r>
        <w:rPr>
          <w:rFonts w:ascii="Times New Roman" w:hAnsi="Times New Roman"/>
          <w:u w:val="none"/>
        </w:rPr>
        <w:t>e.g., “</w:t>
      </w:r>
      <w:r>
        <w:rPr>
          <w:rFonts w:ascii="Times New Roman" w:hAnsi="Times New Roman"/>
          <w:b w:val="false"/>
          <w:bCs w:val="false"/>
          <w:u w:val="none"/>
        </w:rPr>
        <w:t>SES indicates the tangible financial resources one possesses to buffer the stress.”</w:t>
      </w:r>
    </w:p>
    <w:p>
      <w:pPr>
        <w:pStyle w:val="Normal"/>
        <w:numPr>
          <w:ilvl w:val="2"/>
          <w:numId w:val="2"/>
        </w:numPr>
        <w:jc w:val="left"/>
        <w:rPr/>
      </w:pPr>
      <w:r>
        <w:rPr>
          <w:rFonts w:ascii="Times New Roman" w:hAnsi="Times New Roman"/>
          <w:u w:val="none"/>
        </w:rPr>
        <w:t>“</w:t>
      </w:r>
      <w:r>
        <w:rPr>
          <w:rFonts w:ascii="Times New Roman" w:hAnsi="Times New Roman"/>
          <w:u w:val="none"/>
        </w:rPr>
        <w:t>Perception of position in hierarchy” = Define SES as how an individual perceives their location within a societal hierarchy</w:t>
      </w:r>
    </w:p>
    <w:p>
      <w:pPr>
        <w:pStyle w:val="Normal"/>
        <w:numPr>
          <w:ilvl w:val="3"/>
          <w:numId w:val="2"/>
        </w:numPr>
        <w:jc w:val="left"/>
        <w:rPr/>
      </w:pPr>
      <w:r>
        <w:rPr>
          <w:rFonts w:ascii="Times New Roman" w:hAnsi="Times New Roman"/>
          <w:u w:val="none"/>
        </w:rPr>
        <w:t>e.g., “</w:t>
      </w:r>
      <w:r>
        <w:rPr>
          <w:rFonts w:ascii="Times New Roman" w:hAnsi="Times New Roman"/>
          <w:b w:val="false"/>
          <w:bCs w:val="false"/>
          <w:u w:val="none"/>
        </w:rPr>
        <w:t>Subjective socioeconomic status (SSS) is defined as a person’s subjective perceptions of their rank, relative to others, in the socioeconomic hierarchy”</w:t>
      </w:r>
    </w:p>
    <w:p>
      <w:pPr>
        <w:pStyle w:val="Normal"/>
        <w:numPr>
          <w:ilvl w:val="2"/>
          <w:numId w:val="2"/>
        </w:numPr>
        <w:jc w:val="left"/>
        <w:rPr/>
      </w:pPr>
      <w:r>
        <w:rPr>
          <w:rFonts w:ascii="Times New Roman" w:hAnsi="Times New Roman"/>
          <w:u w:val="none"/>
        </w:rPr>
        <w:t>“</w:t>
      </w:r>
      <w:r>
        <w:rPr>
          <w:rFonts w:ascii="Times New Roman" w:hAnsi="Times New Roman"/>
          <w:u w:val="none"/>
        </w:rPr>
        <w:t>System of hierarchy” = Define SES as a system of hierarchy</w:t>
      </w:r>
    </w:p>
    <w:p>
      <w:pPr>
        <w:pStyle w:val="Normal"/>
        <w:numPr>
          <w:ilvl w:val="3"/>
          <w:numId w:val="2"/>
        </w:numPr>
        <w:jc w:val="left"/>
        <w:rPr/>
      </w:pPr>
      <w:r>
        <w:rPr>
          <w:rFonts w:ascii="Times New Roman" w:hAnsi="Times New Roman"/>
          <w:u w:val="none"/>
        </w:rPr>
        <w:t>e.g.,  “</w:t>
      </w:r>
      <w:r>
        <w:rPr>
          <w:rFonts w:ascii="Times New Roman" w:hAnsi="Times New Roman"/>
          <w:b w:val="false"/>
          <w:bCs w:val="false"/>
          <w:u w:val="none"/>
        </w:rPr>
        <w:t>One of the most prominent systems of hierarchy is socioeconomic status (SES), through which societies rank individuals based on their access to both symbolic and tangible resources such as wealth, education, and prestige”</w:t>
      </w:r>
    </w:p>
    <w:p>
      <w:pPr>
        <w:pStyle w:val="Normal"/>
        <w:numPr>
          <w:ilvl w:val="2"/>
          <w:numId w:val="2"/>
        </w:numPr>
        <w:jc w:val="left"/>
        <w:rPr/>
      </w:pPr>
      <w:r>
        <w:rPr>
          <w:rFonts w:ascii="Times New Roman" w:hAnsi="Times New Roman"/>
          <w:u w:val="none"/>
        </w:rPr>
        <w:t>“</w:t>
      </w:r>
      <w:r>
        <w:rPr>
          <w:rFonts w:ascii="Times New Roman" w:hAnsi="Times New Roman"/>
          <w:u w:val="none"/>
        </w:rPr>
        <w:t>Defined by indicators” = Define SES as consisting of one or more of its indicators</w:t>
      </w:r>
    </w:p>
    <w:p>
      <w:pPr>
        <w:pStyle w:val="Normal"/>
        <w:numPr>
          <w:ilvl w:val="3"/>
          <w:numId w:val="2"/>
        </w:numPr>
        <w:jc w:val="left"/>
        <w:rPr/>
      </w:pPr>
      <w:r>
        <w:rPr>
          <w:rFonts w:ascii="Times New Roman" w:hAnsi="Times New Roman"/>
          <w:u w:val="none"/>
        </w:rPr>
        <w:t>e.g., “class is usually defined by parental educational attainment”</w:t>
      </w:r>
    </w:p>
    <w:p>
      <w:pPr>
        <w:pStyle w:val="Normal"/>
        <w:jc w:val="left"/>
        <w:rPr/>
      </w:pPr>
      <w:r>
        <w:rPr>
          <w:rFonts w:ascii="Times New Roman" w:hAnsi="Times New Roman"/>
          <w:u w:val="none"/>
        </w:rPr>
        <w:t>Protocol for writing codes:</w:t>
      </w:r>
    </w:p>
    <w:p>
      <w:pPr>
        <w:pStyle w:val="Normal"/>
        <w:numPr>
          <w:ilvl w:val="0"/>
          <w:numId w:val="7"/>
        </w:numPr>
        <w:jc w:val="left"/>
        <w:rPr/>
      </w:pPr>
      <w:r>
        <w:rPr>
          <w:rFonts w:ascii="Times New Roman" w:hAnsi="Times New Roman"/>
          <w:u w:val="none"/>
        </w:rPr>
        <w:t>No abbreviations or conjunctions other than SES (i.e., write “did not”, not “don’t”)</w:t>
      </w:r>
    </w:p>
    <w:p>
      <w:pPr>
        <w:pStyle w:val="Normal"/>
        <w:numPr>
          <w:ilvl w:val="0"/>
          <w:numId w:val="7"/>
        </w:numPr>
        <w:jc w:val="left"/>
        <w:rPr/>
      </w:pPr>
      <w:r>
        <w:rPr>
          <w:rFonts w:ascii="Times New Roman" w:hAnsi="Times New Roman"/>
          <w:u w:val="none"/>
        </w:rPr>
        <w:t>Capitalize the first letter of each code</w:t>
      </w:r>
    </w:p>
    <w:p>
      <w:pPr>
        <w:pStyle w:val="Normal"/>
        <w:numPr>
          <w:ilvl w:val="0"/>
          <w:numId w:val="7"/>
        </w:numPr>
        <w:jc w:val="left"/>
        <w:rPr/>
      </w:pPr>
      <w:r>
        <w:rPr>
          <w:rFonts w:ascii="Times New Roman" w:hAnsi="Times New Roman"/>
          <w:u w:val="none"/>
        </w:rPr>
        <w:t>Use spaces to separate words</w:t>
      </w:r>
    </w:p>
    <w:p>
      <w:pPr>
        <w:pStyle w:val="Normal"/>
        <w:numPr>
          <w:ilvl w:val="0"/>
          <w:numId w:val="7"/>
        </w:numPr>
        <w:jc w:val="left"/>
        <w:rPr/>
      </w:pPr>
      <w:r>
        <w:rPr>
          <w:rFonts w:ascii="Times New Roman" w:hAnsi="Times New Roman"/>
          <w:u w:val="none"/>
        </w:rPr>
        <w:t>Separate codes with a hyphen (“-”)</w:t>
      </w:r>
    </w:p>
    <w:p>
      <w:pPr>
        <w:pStyle w:val="Normal"/>
        <w:jc w:val="left"/>
        <w:rPr>
          <w:rFonts w:ascii="Times New Roman" w:hAnsi="Times New Roman"/>
          <w:u w:val="none"/>
        </w:rPr>
      </w:pPr>
      <w:r>
        <w:rPr>
          <w:rFonts w:ascii="Times New Roman" w:hAnsi="Times New Roman"/>
          <w:u w:val="none"/>
        </w:rPr>
      </w:r>
    </w:p>
    <w:p>
      <w:pPr>
        <w:pStyle w:val="Normal"/>
        <w:jc w:val="left"/>
        <w:rPr>
          <w:rFonts w:ascii="Times New Roman" w:hAnsi="Times New Roman"/>
          <w:u w:val="none"/>
        </w:rPr>
      </w:pPr>
      <w:r>
        <w:rPr>
          <w:rFonts w:ascii="Times New Roman" w:hAnsi="Times New Roman"/>
          <w:u w:val="none"/>
        </w:rPr>
      </w:r>
      <w:r>
        <w:br w:type="page"/>
      </w:r>
    </w:p>
    <w:p>
      <w:pPr>
        <w:pStyle w:val="Normal"/>
        <w:numPr>
          <w:ilvl w:val="0"/>
          <w:numId w:val="1"/>
        </w:numPr>
        <w:jc w:val="left"/>
        <w:rPr/>
      </w:pPr>
      <w:r>
        <w:rPr>
          <w:rFonts w:ascii="Times New Roman" w:hAnsi="Times New Roman"/>
          <w:u w:val="none"/>
        </w:rPr>
        <w:t xml:space="preserve"> </w:t>
      </w:r>
      <w:r>
        <w:rPr>
          <w:rFonts w:ascii="Times New Roman" w:hAnsi="Times New Roman"/>
          <w:u w:val="none"/>
        </w:rPr>
        <w:t>How SES operationalized</w:t>
      </w:r>
    </w:p>
    <w:p>
      <w:pPr>
        <w:pStyle w:val="Normal"/>
        <w:numPr>
          <w:ilvl w:val="1"/>
          <w:numId w:val="3"/>
        </w:numPr>
        <w:jc w:val="left"/>
        <w:rPr>
          <w:rFonts w:ascii="Times New Roman" w:hAnsi="Times New Roman"/>
          <w:u w:val="none"/>
        </w:rPr>
      </w:pPr>
      <w:r>
        <w:rPr>
          <w:rFonts w:ascii="Times New Roman" w:hAnsi="Times New Roman"/>
          <w:u w:val="none"/>
        </w:rPr>
        <w:t>Categories:</w:t>
      </w:r>
    </w:p>
    <w:p>
      <w:pPr>
        <w:pStyle w:val="Normal"/>
        <w:numPr>
          <w:ilvl w:val="2"/>
          <w:numId w:val="3"/>
        </w:numPr>
        <w:jc w:val="left"/>
        <w:rPr/>
      </w:pPr>
      <w:r>
        <w:rPr>
          <w:rFonts w:ascii="Times New Roman" w:hAnsi="Times New Roman"/>
          <w:b/>
          <w:bCs/>
          <w:u w:val="none"/>
        </w:rPr>
        <w:t>Note</w:t>
      </w:r>
      <w:r>
        <w:rPr>
          <w:rFonts w:ascii="Times New Roman" w:hAnsi="Times New Roman"/>
          <w:u w:val="none"/>
        </w:rPr>
        <w:t xml:space="preserve">: These refer to how </w:t>
      </w:r>
      <w:r>
        <w:rPr>
          <w:rFonts w:ascii="Times New Roman" w:hAnsi="Times New Roman"/>
          <w:i/>
          <w:iCs/>
          <w:u w:val="none"/>
        </w:rPr>
        <w:t>SES</w:t>
      </w:r>
      <w:r>
        <w:rPr>
          <w:rFonts w:ascii="Times New Roman" w:hAnsi="Times New Roman"/>
          <w:u w:val="none"/>
        </w:rPr>
        <w:t xml:space="preserve"> was operationalized, and NOT to how indicators of SES were (e.g., using PCA or a sum score for family assets does </w:t>
      </w:r>
      <w:r>
        <w:rPr>
          <w:rFonts w:ascii="Times New Roman" w:hAnsi="Times New Roman"/>
          <w:i/>
          <w:iCs/>
          <w:u w:val="none"/>
        </w:rPr>
        <w:t>not</w:t>
      </w:r>
      <w:r>
        <w:rPr>
          <w:rFonts w:ascii="Times New Roman" w:hAnsi="Times New Roman"/>
          <w:u w:val="none"/>
        </w:rPr>
        <w:t xml:space="preserve"> count as dimension reduction, but using PCA or a sum score for family assets and income does count as dimension reduction)</w:t>
      </w:r>
    </w:p>
    <w:p>
      <w:pPr>
        <w:pStyle w:val="Normal"/>
        <w:numPr>
          <w:ilvl w:val="2"/>
          <w:numId w:val="3"/>
        </w:numPr>
        <w:jc w:val="left"/>
        <w:rPr/>
      </w:pPr>
      <w:r>
        <w:rPr>
          <w:rFonts w:ascii="Times New Roman" w:hAnsi="Times New Roman"/>
          <w:u w:val="none"/>
        </w:rPr>
        <w:t>“</w:t>
      </w:r>
      <w:r>
        <w:rPr>
          <w:rFonts w:ascii="Times New Roman" w:hAnsi="Times New Roman"/>
          <w:u w:val="none"/>
        </w:rPr>
        <w:t>None given” = didn’t say</w:t>
      </w:r>
    </w:p>
    <w:p>
      <w:pPr>
        <w:pStyle w:val="Normal"/>
        <w:numPr>
          <w:ilvl w:val="2"/>
          <w:numId w:val="3"/>
        </w:numPr>
        <w:jc w:val="left"/>
        <w:rPr>
          <w:rFonts w:ascii="Times New Roman" w:hAnsi="Times New Roman"/>
          <w:u w:val="none"/>
        </w:rPr>
      </w:pPr>
      <w:r>
        <w:rPr>
          <w:rFonts w:ascii="Times New Roman" w:hAnsi="Times New Roman"/>
          <w:u w:val="none"/>
        </w:rPr>
        <w:t>“</w:t>
      </w:r>
      <w:r>
        <w:rPr>
          <w:rFonts w:ascii="Times New Roman" w:hAnsi="Times New Roman"/>
          <w:u w:val="none"/>
        </w:rPr>
        <w:t>Did not study SES” = particular study didn’t study SES</w:t>
      </w:r>
    </w:p>
    <w:p>
      <w:pPr>
        <w:pStyle w:val="Normal"/>
        <w:numPr>
          <w:ilvl w:val="2"/>
          <w:numId w:val="3"/>
        </w:numPr>
        <w:jc w:val="left"/>
        <w:rPr>
          <w:rFonts w:ascii="Times New Roman" w:hAnsi="Times New Roman"/>
          <w:u w:val="none"/>
        </w:rPr>
      </w:pPr>
      <w:r>
        <w:rPr>
          <w:rFonts w:ascii="Times New Roman" w:hAnsi="Times New Roman"/>
          <w:u w:val="none"/>
        </w:rPr>
        <w:t>“</w:t>
      </w:r>
      <w:r>
        <w:rPr>
          <w:rFonts w:ascii="Times New Roman" w:hAnsi="Times New Roman"/>
          <w:u w:val="none"/>
        </w:rPr>
        <w:t>Single indicator” = used only one indicator</w:t>
      </w:r>
    </w:p>
    <w:p>
      <w:pPr>
        <w:pStyle w:val="Normal"/>
        <w:numPr>
          <w:ilvl w:val="2"/>
          <w:numId w:val="3"/>
        </w:numPr>
        <w:jc w:val="left"/>
        <w:rPr>
          <w:rFonts w:ascii="Times New Roman" w:hAnsi="Times New Roman"/>
          <w:u w:val="none"/>
        </w:rPr>
      </w:pPr>
      <w:r>
        <w:rPr>
          <w:rFonts w:ascii="Times New Roman" w:hAnsi="Times New Roman"/>
          <w:u w:val="none"/>
        </w:rPr>
        <w:t>“</w:t>
      </w:r>
      <w:r>
        <w:rPr>
          <w:rFonts w:ascii="Times New Roman" w:hAnsi="Times New Roman"/>
          <w:u w:val="none"/>
        </w:rPr>
        <w:t>Multiple single indicators” = used more than one single indicator</w:t>
      </w:r>
    </w:p>
    <w:p>
      <w:pPr>
        <w:pStyle w:val="Normal"/>
        <w:numPr>
          <w:ilvl w:val="2"/>
          <w:numId w:val="3"/>
        </w:numPr>
        <w:jc w:val="left"/>
        <w:rPr>
          <w:rFonts w:ascii="Times New Roman" w:hAnsi="Times New Roman"/>
          <w:u w:val="none"/>
        </w:rPr>
      </w:pPr>
      <w:r>
        <w:rPr>
          <w:rFonts w:ascii="Times New Roman" w:hAnsi="Times New Roman"/>
          <w:u w:val="none"/>
        </w:rPr>
        <w:t>“</w:t>
      </w:r>
      <w:r>
        <w:rPr>
          <w:rFonts w:ascii="Times New Roman" w:hAnsi="Times New Roman"/>
          <w:u w:val="none"/>
        </w:rPr>
        <w:t>Dimension reduction” = used process to reduce multiple single indicators into fewer variables (e.g., from K=3 to K=2 or 1, where K is the number of variables referred to as SES)</w:t>
      </w:r>
    </w:p>
    <w:p>
      <w:pPr>
        <w:pStyle w:val="Normal"/>
        <w:numPr>
          <w:ilvl w:val="3"/>
          <w:numId w:val="3"/>
        </w:numPr>
        <w:jc w:val="left"/>
        <w:rPr/>
      </w:pPr>
      <w:r>
        <w:rPr>
          <w:rFonts w:ascii="Times New Roman" w:hAnsi="Times New Roman"/>
          <w:u w:val="none"/>
        </w:rPr>
        <w:t>+ “Formative” = used a dimension reduction technique wherein the indicators define the latent variable (e.g., PCA, WLS)</w:t>
      </w:r>
    </w:p>
    <w:p>
      <w:pPr>
        <w:pStyle w:val="Normal"/>
        <w:numPr>
          <w:ilvl w:val="4"/>
          <w:numId w:val="3"/>
        </w:numPr>
        <w:jc w:val="left"/>
        <w:rPr/>
      </w:pPr>
      <w:r>
        <w:rPr>
          <w:rFonts w:ascii="Times New Roman" w:hAnsi="Times New Roman"/>
          <w:u w:val="none"/>
        </w:rPr>
        <w:t>“</w:t>
      </w:r>
      <w:r>
        <w:rPr>
          <w:rFonts w:ascii="Times New Roman" w:hAnsi="Times New Roman"/>
          <w:u w:val="none"/>
        </w:rPr>
        <w:t>PCA” = principal components analysis</w:t>
      </w:r>
    </w:p>
    <w:p>
      <w:pPr>
        <w:pStyle w:val="Normal"/>
        <w:numPr>
          <w:ilvl w:val="4"/>
          <w:numId w:val="3"/>
        </w:numPr>
        <w:jc w:val="left"/>
        <w:rPr/>
      </w:pPr>
      <w:r>
        <w:rPr>
          <w:rFonts w:ascii="Times New Roman" w:hAnsi="Times New Roman"/>
          <w:u w:val="none"/>
        </w:rPr>
        <w:t>“</w:t>
      </w:r>
      <w:r>
        <w:rPr>
          <w:rFonts w:ascii="Times New Roman" w:hAnsi="Times New Roman"/>
          <w:u w:val="none"/>
        </w:rPr>
        <w:t>PLS” = partial least squares</w:t>
      </w:r>
    </w:p>
    <w:p>
      <w:pPr>
        <w:pStyle w:val="Normal"/>
        <w:numPr>
          <w:ilvl w:val="3"/>
          <w:numId w:val="3"/>
        </w:numPr>
        <w:jc w:val="left"/>
        <w:rPr/>
      </w:pPr>
      <w:r>
        <w:rPr>
          <w:rFonts w:ascii="Times New Roman" w:hAnsi="Times New Roman"/>
          <w:u w:val="none"/>
        </w:rPr>
        <w:t>+ “Reflective: = used a dimension reduction technique wherein the latent variable defines (gives rise to) the indicators (e.g., CFA, EFA)</w:t>
      </w:r>
    </w:p>
    <w:p>
      <w:pPr>
        <w:pStyle w:val="Normal"/>
        <w:numPr>
          <w:ilvl w:val="4"/>
          <w:numId w:val="3"/>
        </w:numPr>
        <w:jc w:val="left"/>
        <w:rPr/>
      </w:pPr>
      <w:r>
        <w:rPr>
          <w:rFonts w:ascii="Times New Roman" w:hAnsi="Times New Roman"/>
          <w:u w:val="none"/>
        </w:rPr>
        <w:t>“</w:t>
      </w:r>
      <w:r>
        <w:rPr>
          <w:rFonts w:ascii="Times New Roman" w:hAnsi="Times New Roman"/>
          <w:u w:val="none"/>
        </w:rPr>
        <w:t>CFA” = confirmatory factor analysis</w:t>
      </w:r>
    </w:p>
    <w:p>
      <w:pPr>
        <w:pStyle w:val="Normal"/>
        <w:numPr>
          <w:ilvl w:val="4"/>
          <w:numId w:val="3"/>
        </w:numPr>
        <w:jc w:val="left"/>
        <w:rPr/>
      </w:pPr>
      <w:r>
        <w:rPr>
          <w:rFonts w:ascii="Times New Roman" w:hAnsi="Times New Roman"/>
          <w:u w:val="none"/>
        </w:rPr>
        <w:t>“</w:t>
      </w:r>
      <w:r>
        <w:rPr>
          <w:rFonts w:ascii="Times New Roman" w:hAnsi="Times New Roman"/>
          <w:u w:val="none"/>
        </w:rPr>
        <w:t>EFA” = exploratory factor analysis</w:t>
      </w:r>
    </w:p>
    <w:p>
      <w:pPr>
        <w:pStyle w:val="Normal"/>
        <w:numPr>
          <w:ilvl w:val="3"/>
          <w:numId w:val="3"/>
        </w:numPr>
        <w:jc w:val="left"/>
        <w:rPr/>
      </w:pPr>
      <w:r>
        <w:rPr>
          <w:rFonts w:ascii="Times New Roman" w:hAnsi="Times New Roman"/>
          <w:u w:val="none"/>
        </w:rPr>
        <w:t>+ “Other composite” = used a modeling strategy that doesn’t fall neatly into either of the above (e.g., equal weights could be either reflective or formative, Hollingshead, Duncan SEI)</w:t>
      </w:r>
    </w:p>
    <w:p>
      <w:pPr>
        <w:pStyle w:val="Normal"/>
        <w:numPr>
          <w:ilvl w:val="4"/>
          <w:numId w:val="3"/>
        </w:numPr>
        <w:jc w:val="left"/>
        <w:rPr/>
      </w:pPr>
      <w:r>
        <w:rPr>
          <w:rFonts w:ascii="Times New Roman" w:hAnsi="Times New Roman"/>
          <w:u w:val="none"/>
        </w:rPr>
        <w:t>“</w:t>
      </w:r>
      <w:r>
        <w:rPr>
          <w:rFonts w:ascii="Times New Roman" w:hAnsi="Times New Roman"/>
          <w:u w:val="none"/>
        </w:rPr>
        <w:t xml:space="preserve">Standardized mean” = </w:t>
      </w:r>
      <w:bookmarkStart w:id="0" w:name="__DdeLink__9208_101083012"/>
      <w:bookmarkEnd w:id="0"/>
      <w:r>
        <w:rPr>
          <w:rFonts w:ascii="Times New Roman" w:hAnsi="Times New Roman"/>
          <w:u w:val="none"/>
        </w:rPr>
        <w:t>all indicators standardized and average of the standardized indicators used as measure</w:t>
      </w:r>
    </w:p>
    <w:p>
      <w:pPr>
        <w:pStyle w:val="Normal"/>
        <w:numPr>
          <w:ilvl w:val="4"/>
          <w:numId w:val="3"/>
        </w:numPr>
        <w:jc w:val="left"/>
        <w:rPr/>
      </w:pPr>
      <w:r>
        <w:rPr>
          <w:rFonts w:ascii="Times New Roman" w:hAnsi="Times New Roman"/>
          <w:u w:val="none"/>
        </w:rPr>
        <w:t>“</w:t>
      </w:r>
      <w:r>
        <w:rPr>
          <w:rFonts w:ascii="Times New Roman" w:hAnsi="Times New Roman"/>
          <w:u w:val="none"/>
        </w:rPr>
        <w:t>Quintiles” = split continuous composite into five groups</w:t>
      </w:r>
    </w:p>
    <w:p>
      <w:pPr>
        <w:pStyle w:val="Normal"/>
        <w:numPr>
          <w:ilvl w:val="4"/>
          <w:numId w:val="3"/>
        </w:numPr>
        <w:jc w:val="left"/>
        <w:rPr/>
      </w:pPr>
      <w:r>
        <w:rPr>
          <w:rFonts w:ascii="Times New Roman" w:hAnsi="Times New Roman"/>
          <w:u w:val="none"/>
        </w:rPr>
        <w:t>“</w:t>
      </w:r>
      <w:r>
        <w:rPr>
          <w:rFonts w:ascii="Times New Roman" w:hAnsi="Times New Roman"/>
          <w:u w:val="none"/>
        </w:rPr>
        <w:t>Trichotomized” = split continuous composite into three groups</w:t>
      </w:r>
    </w:p>
    <w:p>
      <w:pPr>
        <w:pStyle w:val="Normal"/>
        <w:numPr>
          <w:ilvl w:val="4"/>
          <w:numId w:val="3"/>
        </w:numPr>
        <w:jc w:val="left"/>
        <w:rPr/>
      </w:pPr>
      <w:r>
        <w:rPr>
          <w:rFonts w:ascii="Times New Roman" w:hAnsi="Times New Roman"/>
          <w:u w:val="none"/>
        </w:rPr>
        <w:t>“</w:t>
      </w:r>
      <w:r>
        <w:rPr>
          <w:rFonts w:ascii="Times New Roman" w:hAnsi="Times New Roman"/>
          <w:u w:val="none"/>
        </w:rPr>
        <w:t>Normalized mean” = all indicators changed to same scale and average of normalized indicators used as measure</w:t>
      </w:r>
    </w:p>
    <w:p>
      <w:pPr>
        <w:pStyle w:val="Normal"/>
        <w:numPr>
          <w:ilvl w:val="4"/>
          <w:numId w:val="3"/>
        </w:numPr>
        <w:jc w:val="left"/>
        <w:rPr/>
      </w:pPr>
      <w:r>
        <w:rPr>
          <w:rFonts w:ascii="Times New Roman" w:hAnsi="Times New Roman"/>
          <w:u w:val="none"/>
        </w:rPr>
        <w:t>“</w:t>
      </w:r>
      <w:r>
        <w:rPr>
          <w:rFonts w:ascii="Times New Roman" w:hAnsi="Times New Roman"/>
          <w:u w:val="none"/>
        </w:rPr>
        <w:t>Logarithm” = logarithm of indicators used</w:t>
      </w:r>
    </w:p>
    <w:p>
      <w:pPr>
        <w:pStyle w:val="Normal"/>
        <w:numPr>
          <w:ilvl w:val="4"/>
          <w:numId w:val="3"/>
        </w:numPr>
        <w:jc w:val="left"/>
        <w:rPr/>
      </w:pPr>
      <w:r>
        <w:rPr>
          <w:rFonts w:ascii="Times New Roman" w:hAnsi="Times New Roman"/>
          <w:u w:val="none"/>
        </w:rPr>
        <w:t>“</w:t>
      </w:r>
      <w:r>
        <w:rPr>
          <w:rFonts w:ascii="Times New Roman" w:hAnsi="Times New Roman"/>
          <w:u w:val="none"/>
        </w:rPr>
        <w:t>Sum” = sum of indicators</w:t>
      </w:r>
    </w:p>
    <w:p>
      <w:pPr>
        <w:pStyle w:val="Normal"/>
        <w:numPr>
          <w:ilvl w:val="4"/>
          <w:numId w:val="3"/>
        </w:numPr>
        <w:jc w:val="left"/>
        <w:rPr/>
      </w:pPr>
      <w:r>
        <w:rPr>
          <w:rFonts w:ascii="Times New Roman" w:hAnsi="Times New Roman"/>
          <w:u w:val="none"/>
        </w:rPr>
        <w:t>“</w:t>
      </w:r>
      <w:r>
        <w:rPr>
          <w:rFonts w:ascii="Times New Roman" w:hAnsi="Times New Roman"/>
          <w:u w:val="none"/>
        </w:rPr>
        <w:t>Mean” = mean of indicators</w:t>
      </w:r>
    </w:p>
    <w:p>
      <w:pPr>
        <w:pStyle w:val="Normal"/>
        <w:numPr>
          <w:ilvl w:val="4"/>
          <w:numId w:val="3"/>
        </w:numPr>
        <w:jc w:val="left"/>
        <w:rPr/>
      </w:pPr>
      <w:r>
        <w:rPr>
          <w:rFonts w:ascii="Times New Roman" w:hAnsi="Times New Roman"/>
          <w:u w:val="none"/>
        </w:rPr>
        <w:t>“</w:t>
      </w:r>
      <w:r>
        <w:rPr>
          <w:rFonts w:ascii="Times New Roman" w:hAnsi="Times New Roman"/>
          <w:u w:val="none"/>
        </w:rPr>
        <w:t>Standardized sum” = all indicators standardized and sum of the standardized indicators used as measure</w:t>
      </w:r>
    </w:p>
    <w:p>
      <w:pPr>
        <w:pStyle w:val="Normal"/>
        <w:numPr>
          <w:ilvl w:val="4"/>
          <w:numId w:val="3"/>
        </w:numPr>
        <w:jc w:val="left"/>
        <w:rPr/>
      </w:pPr>
      <w:r>
        <w:rPr>
          <w:rFonts w:ascii="Times New Roman" w:hAnsi="Times New Roman"/>
          <w:u w:val="none"/>
        </w:rPr>
        <w:t>“</w:t>
      </w:r>
      <w:r>
        <w:rPr>
          <w:rFonts w:ascii="Times New Roman" w:hAnsi="Times New Roman"/>
          <w:u w:val="none"/>
        </w:rPr>
        <w:t>Dichotomized” = split continuous composite into two groups</w:t>
      </w:r>
    </w:p>
    <w:p>
      <w:pPr>
        <w:pStyle w:val="Normal"/>
        <w:numPr>
          <w:ilvl w:val="2"/>
          <w:numId w:val="3"/>
        </w:numPr>
        <w:jc w:val="left"/>
        <w:rPr>
          <w:rFonts w:ascii="Times New Roman" w:hAnsi="Times New Roman"/>
          <w:u w:val="none"/>
        </w:rPr>
      </w:pPr>
      <w:r>
        <w:rPr>
          <w:rFonts w:ascii="Times New Roman" w:hAnsi="Times New Roman"/>
          <w:u w:val="none"/>
        </w:rPr>
        <w:t>Remainder will be inferred from the data (no categories to start with)</w:t>
      </w:r>
    </w:p>
    <w:p>
      <w:pPr>
        <w:pStyle w:val="Normal"/>
        <w:numPr>
          <w:ilvl w:val="2"/>
          <w:numId w:val="3"/>
        </w:numPr>
        <w:jc w:val="left"/>
        <w:rPr>
          <w:rFonts w:ascii="Times New Roman" w:hAnsi="Times New Roman"/>
          <w:u w:val="none"/>
        </w:rPr>
      </w:pPr>
      <w:r>
        <w:rPr>
          <w:rFonts w:ascii="Times New Roman" w:hAnsi="Times New Roman"/>
          <w:u w:val="none"/>
        </w:rPr>
        <w:t>Modifications to indicators:</w:t>
      </w:r>
    </w:p>
    <w:p>
      <w:pPr>
        <w:pStyle w:val="Normal"/>
        <w:numPr>
          <w:ilvl w:val="3"/>
          <w:numId w:val="3"/>
        </w:numPr>
        <w:jc w:val="left"/>
        <w:rPr/>
      </w:pPr>
      <w:r>
        <w:rPr>
          <w:rFonts w:ascii="Times New Roman" w:hAnsi="Times New Roman"/>
          <w:u w:val="none"/>
        </w:rPr>
        <w:t>“</w:t>
      </w:r>
      <w:r>
        <w:rPr>
          <w:rFonts w:ascii="Times New Roman" w:hAnsi="Times New Roman"/>
          <w:u w:val="none"/>
        </w:rPr>
        <w:t>Dichotomized” = made an otherwise non-binary indicator binary</w:t>
      </w:r>
    </w:p>
    <w:p>
      <w:pPr>
        <w:pStyle w:val="Normal"/>
        <w:numPr>
          <w:ilvl w:val="2"/>
          <w:numId w:val="3"/>
        </w:numPr>
        <w:jc w:val="left"/>
        <w:rPr/>
      </w:pPr>
      <w:r>
        <w:rPr>
          <w:rFonts w:ascii="Times New Roman" w:hAnsi="Times New Roman"/>
          <w:u w:val="none"/>
        </w:rPr>
        <w:t>“</w:t>
      </w:r>
      <w:r>
        <w:rPr>
          <w:rFonts w:ascii="Times New Roman" w:hAnsi="Times New Roman"/>
          <w:u w:val="none"/>
        </w:rPr>
        <w:t>Mixed” = mix of single indicator approaches and dimension reduction approaches</w:t>
      </w:r>
    </w:p>
    <w:p>
      <w:pPr>
        <w:pStyle w:val="Normal"/>
        <w:jc w:val="left"/>
        <w:rPr/>
      </w:pPr>
      <w:r>
        <w:rPr>
          <w:rFonts w:ascii="Times New Roman" w:hAnsi="Times New Roman"/>
          <w:u w:val="none"/>
        </w:rPr>
        <w:t>Protocol for writing codes:</w:t>
      </w:r>
    </w:p>
    <w:p>
      <w:pPr>
        <w:pStyle w:val="Normal"/>
        <w:numPr>
          <w:ilvl w:val="0"/>
          <w:numId w:val="5"/>
        </w:numPr>
        <w:jc w:val="left"/>
        <w:rPr/>
      </w:pPr>
      <w:r>
        <w:rPr>
          <w:rFonts w:ascii="Times New Roman" w:hAnsi="Times New Roman"/>
          <w:u w:val="none"/>
        </w:rPr>
        <w:t>No abbreviations or conjunctions other than SES (i.e., write “did not”, not “don’t”)</w:t>
      </w:r>
    </w:p>
    <w:p>
      <w:pPr>
        <w:pStyle w:val="Normal"/>
        <w:numPr>
          <w:ilvl w:val="0"/>
          <w:numId w:val="5"/>
        </w:numPr>
        <w:jc w:val="left"/>
        <w:rPr/>
      </w:pPr>
      <w:r>
        <w:rPr>
          <w:rFonts w:ascii="Times New Roman" w:hAnsi="Times New Roman"/>
          <w:u w:val="none"/>
        </w:rPr>
        <w:t>Capitalize the first letter of each code</w:t>
      </w:r>
    </w:p>
    <w:p>
      <w:pPr>
        <w:pStyle w:val="Normal"/>
        <w:numPr>
          <w:ilvl w:val="0"/>
          <w:numId w:val="5"/>
        </w:numPr>
        <w:jc w:val="left"/>
        <w:rPr/>
      </w:pPr>
      <w:bookmarkStart w:id="1" w:name="__DdeLink__480_2103017733"/>
      <w:bookmarkEnd w:id="1"/>
      <w:r>
        <w:rPr>
          <w:rFonts w:ascii="Times New Roman" w:hAnsi="Times New Roman"/>
          <w:u w:val="none"/>
        </w:rPr>
        <w:t>Use spaces to separate words</w:t>
      </w:r>
    </w:p>
    <w:p>
      <w:pPr>
        <w:pStyle w:val="Normal"/>
        <w:numPr>
          <w:ilvl w:val="0"/>
          <w:numId w:val="5"/>
        </w:numPr>
        <w:jc w:val="left"/>
        <w:rPr/>
      </w:pPr>
      <w:r>
        <w:rPr>
          <w:rFonts w:ascii="Times New Roman" w:hAnsi="Times New Roman"/>
          <w:u w:val="none"/>
        </w:rPr>
        <w:t>Elaborating operationalizations:</w:t>
      </w:r>
    </w:p>
    <w:p>
      <w:pPr>
        <w:pStyle w:val="Normal"/>
        <w:numPr>
          <w:ilvl w:val="1"/>
          <w:numId w:val="5"/>
        </w:numPr>
        <w:jc w:val="left"/>
        <w:rPr/>
      </w:pPr>
      <w:r>
        <w:rPr>
          <w:rFonts w:ascii="Times New Roman" w:hAnsi="Times New Roman"/>
          <w:u w:val="none"/>
        </w:rPr>
        <w:t>In addition to recording the type of operationalization (e.g., “Multiple single indicators”), need to record content of operationalization (e.g., income, education)</w:t>
      </w:r>
    </w:p>
    <w:p>
      <w:pPr>
        <w:pStyle w:val="Normal"/>
        <w:numPr>
          <w:ilvl w:val="1"/>
          <w:numId w:val="5"/>
        </w:numPr>
        <w:jc w:val="left"/>
        <w:rPr/>
      </w:pPr>
      <w:r>
        <w:rPr>
          <w:rFonts w:ascii="Times New Roman" w:hAnsi="Times New Roman"/>
          <w:u w:val="none"/>
        </w:rPr>
        <w:t>Separate type from content using an underscore (i.e., “Single indicator_income”)</w:t>
      </w:r>
    </w:p>
    <w:p>
      <w:pPr>
        <w:pStyle w:val="Normal"/>
        <w:numPr>
          <w:ilvl w:val="1"/>
          <w:numId w:val="5"/>
        </w:numPr>
        <w:jc w:val="left"/>
        <w:rPr/>
      </w:pPr>
      <w:r>
        <w:rPr>
          <w:rFonts w:ascii="Times New Roman" w:hAnsi="Times New Roman"/>
          <w:u w:val="none"/>
        </w:rPr>
        <w:t>If writing a list of content, separate elements of list using hyphens (i.e., “Multiple single indicators_income-education-occupational prestige”)</w:t>
      </w:r>
    </w:p>
    <w:p>
      <w:pPr>
        <w:pStyle w:val="Normal"/>
        <w:numPr>
          <w:ilvl w:val="2"/>
          <w:numId w:val="5"/>
        </w:numPr>
        <w:jc w:val="left"/>
        <w:rPr/>
      </w:pPr>
      <w:r>
        <w:rPr>
          <w:rFonts w:ascii="Times New Roman" w:hAnsi="Times New Roman"/>
          <w:u w:val="none"/>
        </w:rPr>
        <w:t>Within an element of a list, separate words using spaces (e.g., “occupational prestige”, not “occupationalPrestige” or something else)</w:t>
      </w:r>
    </w:p>
    <w:p>
      <w:pPr>
        <w:pStyle w:val="Normal"/>
        <w:numPr>
          <w:ilvl w:val="1"/>
          <w:numId w:val="5"/>
        </w:numPr>
        <w:jc w:val="left"/>
        <w:rPr/>
      </w:pPr>
      <w:r>
        <w:rPr>
          <w:rFonts w:ascii="Times New Roman" w:hAnsi="Times New Roman"/>
          <w:u w:val="none"/>
        </w:rPr>
        <w:t>Modifications are listed in brackets ([]) after the indicator to which they apply and separated by a space from the indicator (e.g., “income [dichotomized]”)</w:t>
      </w:r>
    </w:p>
    <w:p>
      <w:pPr>
        <w:pStyle w:val="Normal"/>
        <w:numPr>
          <w:ilvl w:val="0"/>
          <w:numId w:val="5"/>
        </w:numPr>
        <w:jc w:val="left"/>
        <w:rPr/>
      </w:pPr>
      <w:r>
        <w:rPr>
          <w:rFonts w:ascii="Times New Roman" w:hAnsi="Times New Roman"/>
          <w:u w:val="none"/>
        </w:rPr>
        <w:t>Elaborating “Dimension reduction”:</w:t>
      </w:r>
    </w:p>
    <w:p>
      <w:pPr>
        <w:pStyle w:val="Normal"/>
        <w:numPr>
          <w:ilvl w:val="1"/>
          <w:numId w:val="5"/>
        </w:numPr>
        <w:jc w:val="left"/>
        <w:rPr/>
      </w:pPr>
      <w:r>
        <w:rPr>
          <w:rFonts w:ascii="Times New Roman" w:hAnsi="Times New Roman"/>
          <w:u w:val="none"/>
        </w:rPr>
        <w:t>Place type of dimension reduction in brackets ([]) next to after “Dimension reduction” (e.g., “Dimension reduction [Reflective]_income-education”)</w:t>
      </w:r>
    </w:p>
    <w:p>
      <w:pPr>
        <w:pStyle w:val="Normal"/>
        <w:numPr>
          <w:ilvl w:val="1"/>
          <w:numId w:val="5"/>
        </w:numPr>
        <w:jc w:val="left"/>
        <w:rPr/>
      </w:pPr>
      <w:r>
        <w:rPr>
          <w:rFonts w:ascii="Times New Roman" w:hAnsi="Times New Roman"/>
          <w:u w:val="none"/>
        </w:rPr>
        <w:t>Specific method of dimension reduction should follow general type, separated by a period (e.g., “Dimension reduction [Reflective.CFA]_income-education-employment”)</w:t>
      </w:r>
    </w:p>
    <w:p>
      <w:pPr>
        <w:pStyle w:val="Normal"/>
        <w:numPr>
          <w:ilvl w:val="1"/>
          <w:numId w:val="5"/>
        </w:numPr>
        <w:jc w:val="left"/>
        <w:rPr/>
      </w:pPr>
      <w:r>
        <w:rPr>
          <w:rFonts w:ascii="Times New Roman" w:hAnsi="Times New Roman"/>
          <w:u w:val="none"/>
        </w:rPr>
        <w:t>Elaborating “Other composite”:</w:t>
      </w:r>
    </w:p>
    <w:p>
      <w:pPr>
        <w:pStyle w:val="Normal"/>
        <w:numPr>
          <w:ilvl w:val="3"/>
          <w:numId w:val="5"/>
        </w:numPr>
        <w:jc w:val="left"/>
        <w:rPr/>
      </w:pPr>
      <w:r>
        <w:rPr>
          <w:rFonts w:ascii="Times New Roman" w:hAnsi="Times New Roman"/>
          <w:u w:val="none"/>
        </w:rPr>
        <w:t>For non-standard approaches (e.g., not using name-brand indices like Hollingshead or Duncan), indicate the modeling strategy used after “Other composite”, separated by a period (e.g., “Dimension reduction [Other composite.mean]_income-education”)</w:t>
      </w:r>
    </w:p>
    <w:p>
      <w:pPr>
        <w:pStyle w:val="Normal"/>
        <w:numPr>
          <w:ilvl w:val="3"/>
          <w:numId w:val="5"/>
        </w:numPr>
        <w:jc w:val="left"/>
        <w:rPr/>
      </w:pPr>
      <w:r>
        <w:rPr>
          <w:rFonts w:ascii="Times New Roman" w:hAnsi="Times New Roman"/>
          <w:u w:val="none"/>
        </w:rPr>
        <w:t>Each period represents a separate elaboration approach</w:t>
      </w:r>
    </w:p>
    <w:p>
      <w:pPr>
        <w:pStyle w:val="Normal"/>
        <w:numPr>
          <w:ilvl w:val="0"/>
          <w:numId w:val="5"/>
        </w:numPr>
        <w:jc w:val="left"/>
        <w:rPr/>
      </w:pPr>
      <w:r>
        <w:rPr>
          <w:rFonts w:ascii="Times New Roman" w:hAnsi="Times New Roman"/>
          <w:u w:val="none"/>
        </w:rPr>
        <w:t>Elaborating “Mixed”:</w:t>
      </w:r>
    </w:p>
    <w:p>
      <w:pPr>
        <w:pStyle w:val="Normal"/>
        <w:numPr>
          <w:ilvl w:val="1"/>
          <w:numId w:val="5"/>
        </w:numPr>
        <w:jc w:val="left"/>
        <w:rPr/>
      </w:pPr>
      <w:r>
        <w:rPr>
          <w:rFonts w:ascii="Times New Roman" w:hAnsi="Times New Roman"/>
          <w:u w:val="none"/>
        </w:rPr>
        <w:t xml:space="preserve">If dimension reduction involves multiple smaller indicators, give a label to the latent variable (e.g., “subjective SES composite”) and indicate indicators in brackets, </w:t>
      </w:r>
      <w:r>
        <w:rPr>
          <w:rFonts w:ascii="Times New Roman" w:hAnsi="Times New Roman"/>
          <w:u w:val="none"/>
        </w:rPr>
        <w:t>separated</w:t>
      </w:r>
      <w:r>
        <w:rPr>
          <w:rFonts w:ascii="Times New Roman" w:hAnsi="Times New Roman"/>
          <w:u w:val="none"/>
        </w:rPr>
        <w:t xml:space="preserve"> by </w:t>
      </w:r>
      <w:r>
        <w:rPr>
          <w:rFonts w:ascii="Times New Roman" w:hAnsi="Times New Roman"/>
          <w:u w:val="none"/>
        </w:rPr>
        <w:t>commas</w:t>
      </w:r>
      <w:r>
        <w:rPr>
          <w:rFonts w:ascii="Times New Roman" w:hAnsi="Times New Roman"/>
          <w:u w:val="none"/>
        </w:rPr>
        <w:t xml:space="preserve"> (e.g., “subjective SES composite [subjective MacArthur ladder, perceived financial difficulties]”)</w:t>
      </w:r>
    </w:p>
    <w:p>
      <w:pPr>
        <w:pStyle w:val="Normal"/>
        <w:numPr>
          <w:ilvl w:val="1"/>
          <w:numId w:val="5"/>
        </w:numPr>
        <w:jc w:val="left"/>
        <w:rPr/>
      </w:pPr>
      <w:r>
        <w:rPr>
          <w:rFonts w:ascii="Times New Roman" w:hAnsi="Times New Roman"/>
          <w:u w:val="none"/>
        </w:rPr>
        <w:t>If method for combination given (e.g., mean, sum, etc.), write it after the indicators, separated by a period (e.g., “objective SES composite [income, education.Standardized mean]</w:t>
      </w:r>
    </w:p>
    <w:p>
      <w:pPr>
        <w:pStyle w:val="Normal"/>
        <w:jc w:val="left"/>
        <w:rPr>
          <w:rFonts w:ascii="Times New Roman" w:hAnsi="Times New Roman"/>
          <w:u w:val="none"/>
        </w:rPr>
      </w:pPr>
      <w:r>
        <w:rPr>
          <w:rFonts w:ascii="Times New Roman" w:hAnsi="Times New Roman"/>
          <w:u w:val="none"/>
        </w:rPr>
      </w:r>
    </w:p>
    <w:p>
      <w:pPr>
        <w:pStyle w:val="Normal"/>
        <w:jc w:val="left"/>
        <w:rPr>
          <w:rFonts w:ascii="Times New Roman" w:hAnsi="Times New Roman"/>
          <w:u w:val="none"/>
        </w:rPr>
      </w:pPr>
      <w:r>
        <w:rPr>
          <w:rFonts w:ascii="Times New Roman" w:hAnsi="Times New Roman"/>
          <w:u w:val="none"/>
        </w:rPr>
      </w:r>
      <w:r>
        <w:br w:type="page"/>
      </w:r>
    </w:p>
    <w:p>
      <w:pPr>
        <w:pStyle w:val="Normal"/>
        <w:numPr>
          <w:ilvl w:val="0"/>
          <w:numId w:val="1"/>
        </w:numPr>
        <w:jc w:val="left"/>
        <w:rPr/>
      </w:pPr>
      <w:r>
        <w:rPr>
          <w:rFonts w:ascii="Times New Roman" w:hAnsi="Times New Roman"/>
          <w:u w:val="none"/>
        </w:rPr>
        <w:t xml:space="preserve"> </w:t>
      </w:r>
      <w:r>
        <w:rPr>
          <w:rFonts w:ascii="Times New Roman" w:hAnsi="Times New Roman"/>
          <w:u w:val="none"/>
        </w:rPr>
        <w:t>Reason for operationalization</w:t>
      </w:r>
    </w:p>
    <w:p>
      <w:pPr>
        <w:pStyle w:val="Normal"/>
        <w:numPr>
          <w:ilvl w:val="1"/>
          <w:numId w:val="4"/>
        </w:numPr>
        <w:jc w:val="left"/>
        <w:rPr/>
      </w:pPr>
      <w:r>
        <w:rPr>
          <w:rFonts w:ascii="Times New Roman" w:hAnsi="Times New Roman"/>
          <w:u w:val="none"/>
        </w:rPr>
        <w:t>Categories:</w:t>
      </w:r>
    </w:p>
    <w:p>
      <w:pPr>
        <w:pStyle w:val="Normal"/>
        <w:numPr>
          <w:ilvl w:val="2"/>
          <w:numId w:val="4"/>
        </w:numPr>
        <w:jc w:val="left"/>
        <w:rPr>
          <w:b/>
          <w:b/>
          <w:bCs/>
        </w:rPr>
      </w:pPr>
      <w:r>
        <w:rPr>
          <w:rFonts w:ascii="Times New Roman" w:hAnsi="Times New Roman"/>
          <w:b/>
          <w:bCs/>
          <w:u w:val="none"/>
        </w:rPr>
        <w:t>Note:</w:t>
      </w:r>
      <w:r>
        <w:rPr>
          <w:rFonts w:ascii="Times New Roman" w:hAnsi="Times New Roman"/>
          <w:b w:val="false"/>
          <w:bCs w:val="false"/>
          <w:u w:val="none"/>
        </w:rPr>
        <w:t xml:space="preserve"> These refer </w:t>
      </w:r>
      <w:r>
        <w:rPr>
          <w:rFonts w:ascii="Times New Roman" w:hAnsi="Times New Roman"/>
          <w:b w:val="false"/>
          <w:bCs w:val="false"/>
          <w:i w:val="false"/>
          <w:iCs w:val="false"/>
          <w:u w:val="none"/>
        </w:rPr>
        <w:t xml:space="preserve">to </w:t>
      </w:r>
      <w:r>
        <w:rPr>
          <w:rFonts w:ascii="Times New Roman" w:hAnsi="Times New Roman"/>
          <w:b w:val="false"/>
          <w:bCs w:val="false"/>
          <w:i/>
          <w:iCs/>
          <w:u w:val="none"/>
        </w:rPr>
        <w:t>both</w:t>
      </w:r>
      <w:r>
        <w:rPr>
          <w:rFonts w:ascii="Times New Roman" w:hAnsi="Times New Roman"/>
          <w:b w:val="false"/>
          <w:bCs w:val="false"/>
          <w:i w:val="false"/>
          <w:iCs w:val="false"/>
          <w:u w:val="none"/>
        </w:rPr>
        <w:t xml:space="preserve"> how indicators were chosen and how a modeling procedure was chosen.</w:t>
      </w:r>
    </w:p>
    <w:p>
      <w:pPr>
        <w:pStyle w:val="Normal"/>
        <w:numPr>
          <w:ilvl w:val="2"/>
          <w:numId w:val="4"/>
        </w:numPr>
        <w:jc w:val="left"/>
        <w:rPr>
          <w:b/>
          <w:b/>
          <w:bCs/>
        </w:rPr>
      </w:pPr>
      <w:r>
        <w:rPr>
          <w:rFonts w:ascii="Times New Roman" w:hAnsi="Times New Roman"/>
          <w:b/>
          <w:bCs/>
          <w:i w:val="false"/>
          <w:iCs w:val="false"/>
          <w:u w:val="none"/>
        </w:rPr>
        <w:t xml:space="preserve">Note: </w:t>
      </w:r>
      <w:r>
        <w:rPr>
          <w:rFonts w:ascii="Times New Roman" w:hAnsi="Times New Roman"/>
          <w:b w:val="false"/>
          <w:bCs w:val="false"/>
          <w:i w:val="false"/>
          <w:iCs w:val="false"/>
          <w:u w:val="none"/>
        </w:rPr>
        <w:t xml:space="preserve">These refer to how </w:t>
      </w:r>
      <w:r>
        <w:rPr>
          <w:rFonts w:ascii="Times New Roman" w:hAnsi="Times New Roman"/>
          <w:b w:val="false"/>
          <w:bCs w:val="false"/>
          <w:i/>
          <w:iCs/>
          <w:u w:val="none"/>
        </w:rPr>
        <w:t>SES</w:t>
      </w:r>
      <w:r>
        <w:rPr>
          <w:rFonts w:ascii="Times New Roman" w:hAnsi="Times New Roman"/>
          <w:b w:val="false"/>
          <w:bCs w:val="false"/>
          <w:i w:val="false"/>
          <w:iCs w:val="false"/>
          <w:u w:val="none"/>
        </w:rPr>
        <w:t xml:space="preserve"> was operationalized, and NOT to how indicators of SES were (e.g., using PCA or a sum score for family assets because it is recommended by other researchers does </w:t>
      </w:r>
      <w:r>
        <w:rPr>
          <w:rFonts w:ascii="Times New Roman" w:hAnsi="Times New Roman"/>
          <w:b w:val="false"/>
          <w:bCs w:val="false"/>
          <w:i/>
          <w:iCs/>
          <w:u w:val="none"/>
        </w:rPr>
        <w:t>not</w:t>
      </w:r>
      <w:r>
        <w:rPr>
          <w:rFonts w:ascii="Times New Roman" w:hAnsi="Times New Roman"/>
          <w:b w:val="false"/>
          <w:bCs w:val="false"/>
          <w:i w:val="false"/>
          <w:iCs w:val="false"/>
          <w:u w:val="none"/>
        </w:rPr>
        <w:t xml:space="preserve"> count as “Prior work”, but using PCA or a sum score for family assets and income to measure SES because other researchers recommend it does count as “Prior work”) </w:t>
      </w:r>
    </w:p>
    <w:p>
      <w:pPr>
        <w:pStyle w:val="Normal"/>
        <w:numPr>
          <w:ilvl w:val="2"/>
          <w:numId w:val="4"/>
        </w:numPr>
        <w:jc w:val="left"/>
        <w:rPr>
          <w:rFonts w:ascii="Times New Roman" w:hAnsi="Times New Roman"/>
          <w:u w:val="none"/>
        </w:rPr>
      </w:pPr>
      <w:r>
        <w:rPr>
          <w:rFonts w:ascii="Times New Roman" w:hAnsi="Times New Roman"/>
          <w:u w:val="none"/>
        </w:rPr>
        <w:t>“</w:t>
      </w:r>
      <w:r>
        <w:rPr>
          <w:rFonts w:ascii="Times New Roman" w:hAnsi="Times New Roman"/>
          <w:u w:val="none"/>
        </w:rPr>
        <w:t>None given” = didn’t say</w:t>
      </w:r>
    </w:p>
    <w:p>
      <w:pPr>
        <w:pStyle w:val="Normal"/>
        <w:numPr>
          <w:ilvl w:val="2"/>
          <w:numId w:val="4"/>
        </w:numPr>
        <w:jc w:val="left"/>
        <w:rPr>
          <w:rFonts w:ascii="Times New Roman" w:hAnsi="Times New Roman"/>
          <w:u w:val="none"/>
        </w:rPr>
      </w:pPr>
      <w:r>
        <w:rPr>
          <w:rFonts w:ascii="Times New Roman" w:hAnsi="Times New Roman"/>
          <w:u w:val="none"/>
        </w:rPr>
        <w:t>“</w:t>
      </w:r>
      <w:r>
        <w:rPr>
          <w:rFonts w:ascii="Times New Roman" w:hAnsi="Times New Roman"/>
          <w:u w:val="none"/>
        </w:rPr>
        <w:t>Did not study SES” = particular study didn’t study SES</w:t>
      </w:r>
    </w:p>
    <w:p>
      <w:pPr>
        <w:pStyle w:val="Normal"/>
        <w:numPr>
          <w:ilvl w:val="2"/>
          <w:numId w:val="4"/>
        </w:numPr>
        <w:jc w:val="left"/>
        <w:rPr>
          <w:rFonts w:ascii="Times New Roman" w:hAnsi="Times New Roman"/>
          <w:u w:val="none"/>
        </w:rPr>
      </w:pPr>
      <w:r>
        <w:rPr>
          <w:rFonts w:ascii="Times New Roman" w:hAnsi="Times New Roman"/>
          <w:u w:val="none"/>
        </w:rPr>
        <w:t>Remainder will be inferred from the data (no categories to start with)</w:t>
      </w:r>
    </w:p>
    <w:p>
      <w:pPr>
        <w:pStyle w:val="Normal"/>
        <w:numPr>
          <w:ilvl w:val="3"/>
          <w:numId w:val="4"/>
        </w:numPr>
        <w:jc w:val="left"/>
        <w:rPr>
          <w:rFonts w:ascii="Times New Roman" w:hAnsi="Times New Roman"/>
          <w:u w:val="none"/>
        </w:rPr>
      </w:pPr>
      <w:r>
        <w:rPr>
          <w:rFonts w:ascii="Times New Roman" w:hAnsi="Times New Roman"/>
          <w:u w:val="none"/>
        </w:rPr>
        <w:t>But some ideas from Kachmar et al. (2019):</w:t>
      </w:r>
    </w:p>
    <w:p>
      <w:pPr>
        <w:pStyle w:val="Normal"/>
        <w:numPr>
          <w:ilvl w:val="4"/>
          <w:numId w:val="4"/>
        </w:numPr>
        <w:jc w:val="left"/>
        <w:rPr/>
      </w:pPr>
      <w:r>
        <w:rPr>
          <w:rFonts w:ascii="Times New Roman" w:hAnsi="Times New Roman"/>
          <w:u w:val="none"/>
        </w:rPr>
        <w:t>“</w:t>
      </w:r>
      <w:r>
        <w:rPr>
          <w:rFonts w:ascii="Times New Roman" w:hAnsi="Times New Roman"/>
          <w:u w:val="none"/>
        </w:rPr>
        <w:t>Evidence based” = using prior knowledge of relation between particular operationalization and particular outcome or related outcomes</w:t>
      </w:r>
    </w:p>
    <w:p>
      <w:pPr>
        <w:pStyle w:val="Normal"/>
        <w:numPr>
          <w:ilvl w:val="5"/>
          <w:numId w:val="4"/>
        </w:numPr>
        <w:jc w:val="left"/>
        <w:rPr/>
      </w:pPr>
      <w:r>
        <w:rPr>
          <w:rFonts w:ascii="Times New Roman" w:hAnsi="Times New Roman"/>
          <w:u w:val="none"/>
        </w:rPr>
        <w:t>e.g., “A major review has suggested its [two factor Hollingshead] consistency in pre- dicting psychotherapy outcomes”</w:t>
      </w:r>
    </w:p>
    <w:p>
      <w:pPr>
        <w:pStyle w:val="Normal"/>
        <w:numPr>
          <w:ilvl w:val="5"/>
          <w:numId w:val="4"/>
        </w:numPr>
        <w:jc w:val="left"/>
        <w:rPr/>
      </w:pPr>
      <w:r>
        <w:rPr>
          <w:rFonts w:ascii="Times New Roman" w:hAnsi="Times New Roman"/>
          <w:u w:val="none"/>
        </w:rPr>
        <w:t>e.g., “Meta- analyses show that the same factors traditionally appear to predict poor treatment outcome and high attrition from trials (Lundahl et al., 2006; Reyno &amp; McGrath, 2006). Following this literature, we examined two sets of potential moderators of outcome, assessed at age 2. Family risk factors included mother a single parent, mother a teen at the birth of her first child, low maternal educational level, and maternal alcohol or drug problem.”</w:t>
      </w:r>
    </w:p>
    <w:p>
      <w:pPr>
        <w:pStyle w:val="Normal"/>
        <w:numPr>
          <w:ilvl w:val="5"/>
          <w:numId w:val="4"/>
        </w:numPr>
        <w:jc w:val="left"/>
        <w:rPr/>
      </w:pPr>
      <w:r>
        <w:rPr>
          <w:rFonts w:ascii="Times New Roman" w:hAnsi="Times New Roman"/>
          <w:u w:val="none"/>
        </w:rPr>
        <w:t>e.g., “In addition, this SES index is more linked to obesity than family income”</w:t>
      </w:r>
    </w:p>
    <w:p>
      <w:pPr>
        <w:pStyle w:val="Normal"/>
        <w:numPr>
          <w:ilvl w:val="5"/>
          <w:numId w:val="4"/>
        </w:numPr>
        <w:jc w:val="left"/>
        <w:rPr/>
      </w:pPr>
      <w:r>
        <w:rPr>
          <w:rFonts w:ascii="Times New Roman" w:hAnsi="Times New Roman"/>
          <w:u w:val="none"/>
        </w:rPr>
        <w:t>e.g., “Although household income is a relatively crude measure of SES,compared with measures involving multiple indicators (e.g., education andoccupation), it has nevertheless been shown to predict important outcomes(for a review, see Krieger, Williams, &amp; Moss, 1997).”</w:t>
      </w:r>
    </w:p>
    <w:p>
      <w:pPr>
        <w:pStyle w:val="Normal"/>
        <w:numPr>
          <w:ilvl w:val="5"/>
          <w:numId w:val="4"/>
        </w:numPr>
        <w:jc w:val="left"/>
        <w:rPr/>
      </w:pPr>
      <w:r>
        <w:rPr>
          <w:rFonts w:ascii="Times New Roman" w:hAnsi="Times New Roman"/>
          <w:u w:val="none"/>
        </w:rPr>
        <w:t>e.g., “The importance of social class rank perceptions is evident in health psychology research: Relatively lower-class individuals tend to show poorer health and well-being trajectories than do their upper-class counterparts (Adler et al., 1994). Moreover, when researchers measure social class using both objective resource indicators (e.g., income) and subjective perceptions of rank— assessed by ranking oneself on a 10-rung ladder representing socioeconomic status in society (Adler, Epel, Castellazzo, &amp; Ick- ovics, 2000)—the subjective perceptions emerge as the consis- tently stronger predictor of patterns of both self-rated health (e.g., “In general, my health is good”; Adler et al., 2000) and mortality (Kopp, Skrabski, Réthelyi, Kawachi, &amp; Adler, 2004).”</w:t>
      </w:r>
    </w:p>
    <w:p>
      <w:pPr>
        <w:pStyle w:val="Normal"/>
        <w:numPr>
          <w:ilvl w:val="5"/>
          <w:numId w:val="4"/>
        </w:numPr>
        <w:jc w:val="left"/>
        <w:rPr/>
      </w:pPr>
      <w:r>
        <w:rPr>
          <w:rFonts w:ascii="Times New Roman" w:hAnsi="Times New Roman"/>
          <w:u w:val="none"/>
        </w:rPr>
        <w:t>e.g., "Because Curhan et al. (2014) found that educational attainment (an objec- tive measure) and subjective social status (a subjective measure) work differently across cultures to predict well-being (see also Park et al., 2013), we included both objective and a subjective measures of SES to avoid being biased toward either culture."</w:t>
      </w:r>
    </w:p>
    <w:p>
      <w:pPr>
        <w:pStyle w:val="Normal"/>
        <w:numPr>
          <w:ilvl w:val="5"/>
          <w:numId w:val="4"/>
        </w:numPr>
        <w:jc w:val="left"/>
        <w:rPr/>
      </w:pPr>
      <w:r>
        <w:rPr>
          <w:rFonts w:ascii="Times New Roman" w:hAnsi="Times New Roman"/>
          <w:u w:val="none"/>
        </w:rPr>
        <w:t xml:space="preserve">e.g., “Although social class has been measured using both income and education levels (Anderson, Kraus, Galinsky, &amp; Keltner, 2012a), to the extent that differences in unethical behavior are ultimately driven by under- lying differences in power, which is control over resources (Ga- linsky, Rucker, &amp; Magee, 2015; Magee &amp; Galinsky, 2008), we propose that income will predict unethical behavior more strongly than will education." </w:t>
      </w:r>
    </w:p>
    <w:p>
      <w:pPr>
        <w:pStyle w:val="Normal"/>
        <w:numPr>
          <w:ilvl w:val="4"/>
          <w:numId w:val="4"/>
        </w:numPr>
        <w:jc w:val="left"/>
        <w:rPr/>
      </w:pPr>
      <w:r>
        <w:rPr>
          <w:rFonts w:ascii="Times New Roman" w:hAnsi="Times New Roman"/>
          <w:u w:val="none"/>
        </w:rPr>
        <w:t>“</w:t>
      </w:r>
      <w:r>
        <w:rPr>
          <w:rFonts w:ascii="Times New Roman" w:hAnsi="Times New Roman"/>
          <w:u w:val="none"/>
        </w:rPr>
        <w:t>Prior work” = prior research used same operationalization, but no stated relevance of operationalization to current study</w:t>
      </w:r>
    </w:p>
    <w:p>
      <w:pPr>
        <w:pStyle w:val="Normal"/>
        <w:numPr>
          <w:ilvl w:val="5"/>
          <w:numId w:val="4"/>
        </w:numPr>
        <w:jc w:val="left"/>
        <w:rPr/>
      </w:pPr>
      <w:r>
        <w:rPr>
          <w:rFonts w:ascii="Times New Roman" w:hAnsi="Times New Roman"/>
          <w:u w:val="none"/>
        </w:rPr>
        <w:t>e.g., "Hollingshead’s operationalization of socioeconomic status using four factors is the most widely used and validated measure of socioeconomic status in psychological research”</w:t>
      </w:r>
    </w:p>
    <w:p>
      <w:pPr>
        <w:pStyle w:val="Normal"/>
        <w:numPr>
          <w:ilvl w:val="5"/>
          <w:numId w:val="4"/>
        </w:numPr>
        <w:jc w:val="left"/>
        <w:rPr/>
      </w:pPr>
      <w:r>
        <w:rPr>
          <w:rFonts w:ascii="Times New Roman" w:hAnsi="Times New Roman"/>
          <w:u w:val="none"/>
        </w:rPr>
        <w:t>e.g., “</w:t>
      </w:r>
      <w:r>
        <w:rPr>
          <w:rFonts w:ascii="Times New Roman" w:hAnsi="Times New Roman"/>
          <w:sz w:val="24"/>
          <w:szCs w:val="24"/>
          <w:u w:val="none"/>
        </w:rPr>
        <w:t>In order to create an index ofsocioeconomic risk, we followed previous guidelines (Conger etal., 2010;Dearing, McCartney, &amp; Taylor, 2001) and created acomposite variable comprised of a family income-to-needs ratio,maternal education, and maternal report of level of chaos in theneighborhood”</w:t>
      </w:r>
    </w:p>
    <w:p>
      <w:pPr>
        <w:pStyle w:val="Normal"/>
        <w:numPr>
          <w:ilvl w:val="5"/>
          <w:numId w:val="4"/>
        </w:numPr>
        <w:jc w:val="left"/>
        <w:rPr/>
      </w:pPr>
      <w:r>
        <w:rPr>
          <w:rFonts w:ascii="Times New Roman" w:hAnsi="Times New Roman"/>
          <w:sz w:val="24"/>
          <w:szCs w:val="24"/>
          <w:u w:val="none"/>
        </w:rPr>
        <w:t>e.g., “Socio- economic position is a component of social class (Adler et al., 2000; Kraus et al., 2009), and our manipulation of perceptions of relative socioeconomic standing is conceptually similar to manip- ulations of cultural identity constructs (e.g., individualism– collectivism) used in previous research (e.g., Oyserman &amp; Lee, 2008).”</w:t>
      </w:r>
    </w:p>
    <w:p>
      <w:pPr>
        <w:pStyle w:val="Normal"/>
        <w:numPr>
          <w:ilvl w:val="4"/>
          <w:numId w:val="4"/>
        </w:numPr>
        <w:jc w:val="left"/>
        <w:rPr/>
      </w:pPr>
      <w:r>
        <w:rPr>
          <w:rFonts w:ascii="Times New Roman" w:hAnsi="Times New Roman"/>
          <w:u w:val="none"/>
        </w:rPr>
        <w:t>“</w:t>
      </w:r>
      <w:r>
        <w:rPr>
          <w:rFonts w:ascii="Times New Roman" w:hAnsi="Times New Roman"/>
          <w:u w:val="none"/>
        </w:rPr>
        <w:t>Undetailed reason” = stated a rationale without justifying details or criterion [I don’t know what this means]</w:t>
      </w:r>
    </w:p>
    <w:p>
      <w:pPr>
        <w:pStyle w:val="Normal"/>
        <w:numPr>
          <w:ilvl w:val="2"/>
          <w:numId w:val="4"/>
        </w:numPr>
        <w:jc w:val="left"/>
        <w:rPr/>
      </w:pPr>
      <w:r>
        <w:rPr>
          <w:rFonts w:ascii="Times New Roman" w:hAnsi="Times New Roman"/>
          <w:u w:val="none"/>
        </w:rPr>
        <w:t>From data (indicators):</w:t>
      </w:r>
    </w:p>
    <w:p>
      <w:pPr>
        <w:pStyle w:val="Normal"/>
        <w:numPr>
          <w:ilvl w:val="3"/>
          <w:numId w:val="4"/>
        </w:numPr>
        <w:jc w:val="left"/>
        <w:rPr/>
      </w:pPr>
      <w:r>
        <w:rPr>
          <w:rFonts w:ascii="Times New Roman" w:hAnsi="Times New Roman"/>
          <w:u w:val="none"/>
        </w:rPr>
        <w:t>“</w:t>
      </w:r>
      <w:r>
        <w:rPr>
          <w:rFonts w:ascii="Times New Roman" w:hAnsi="Times New Roman"/>
          <w:u w:val="none"/>
        </w:rPr>
        <w:t>Parallel forms” = Operationalization of SES correlates with, or works similarly to, other possible operationalizations of SES</w:t>
      </w:r>
    </w:p>
    <w:p>
      <w:pPr>
        <w:pStyle w:val="Normal"/>
        <w:numPr>
          <w:ilvl w:val="4"/>
          <w:numId w:val="4"/>
        </w:numPr>
        <w:jc w:val="left"/>
        <w:rPr/>
      </w:pPr>
      <w:r>
        <w:rPr>
          <w:rFonts w:ascii="Times New Roman" w:hAnsi="Times New Roman"/>
          <w:u w:val="none"/>
        </w:rPr>
        <w:t>e.g., “The measure [Hollingshead’s index] correlates highly with other indices of social status”</w:t>
      </w:r>
    </w:p>
    <w:p>
      <w:pPr>
        <w:pStyle w:val="Normal"/>
        <w:numPr>
          <w:ilvl w:val="4"/>
          <w:numId w:val="4"/>
        </w:numPr>
        <w:jc w:val="left"/>
        <w:rPr/>
      </w:pPr>
      <w:r>
        <w:rPr>
          <w:rFonts w:ascii="Times New Roman" w:hAnsi="Times New Roman"/>
          <w:u w:val="none"/>
        </w:rPr>
        <w:t>e.g., “Previous research shows that measures of subjective SES predict patterns in health (e.g., Adler et al., 2000) and explanations of social events (Kraus et al., 2009) consistent with measures of social class that index the construct by assessing wealth and educational attainment.”</w:t>
      </w:r>
    </w:p>
    <w:p>
      <w:pPr>
        <w:pStyle w:val="Normal"/>
        <w:numPr>
          <w:ilvl w:val="4"/>
          <w:numId w:val="4"/>
        </w:numPr>
        <w:jc w:val="left"/>
        <w:rPr/>
      </w:pPr>
      <w:r>
        <w:rPr>
          <w:rFonts w:ascii="Times New Roman" w:hAnsi="Times New Roman"/>
          <w:u w:val="none"/>
        </w:rPr>
        <w:t>e.g., “"Pilot data within a nationally collected online community sample (n 81), demonstrated this particular measure of social class was correlated with household income, a more objective measure of the construct, r .51, p .001.”</w:t>
      </w:r>
    </w:p>
    <w:p>
      <w:pPr>
        <w:pStyle w:val="Normal"/>
        <w:numPr>
          <w:ilvl w:val="3"/>
          <w:numId w:val="4"/>
        </w:numPr>
        <w:jc w:val="left"/>
        <w:rPr/>
      </w:pPr>
      <w:r>
        <w:rPr>
          <w:rFonts w:ascii="Times New Roman" w:hAnsi="Times New Roman"/>
          <w:u w:val="none"/>
        </w:rPr>
        <w:t>“</w:t>
      </w:r>
      <w:r>
        <w:rPr>
          <w:rFonts w:ascii="Times New Roman" w:hAnsi="Times New Roman"/>
          <w:u w:val="none"/>
        </w:rPr>
        <w:t>Content validity” = Operationalization of SES intended to capture multiple different aspects of SES</w:t>
      </w:r>
    </w:p>
    <w:p>
      <w:pPr>
        <w:pStyle w:val="Normal"/>
        <w:numPr>
          <w:ilvl w:val="4"/>
          <w:numId w:val="4"/>
        </w:numPr>
        <w:jc w:val="left"/>
        <w:rPr/>
      </w:pPr>
      <w:r>
        <w:rPr>
          <w:rFonts w:ascii="Times New Roman" w:hAnsi="Times New Roman"/>
          <w:u w:val="none"/>
        </w:rPr>
        <w:t>e.g., “In this study, using all three indicators serves the purpose of attempting to address discrepancies in the literature on SES and treatment outcome, because most studies have used only one of these three indicators, with varying results"</w:t>
      </w:r>
    </w:p>
    <w:p>
      <w:pPr>
        <w:pStyle w:val="Normal"/>
        <w:numPr>
          <w:ilvl w:val="4"/>
          <w:numId w:val="4"/>
        </w:numPr>
        <w:jc w:val="left"/>
        <w:rPr/>
      </w:pPr>
      <w:r>
        <w:rPr>
          <w:rFonts w:ascii="Times New Roman" w:hAnsi="Times New Roman"/>
          <w:u w:val="none"/>
        </w:rPr>
        <w:t>e.g., “The measures one chooses to examine SES reflect different underlying conceptual- izations that may be associated with different pathways linking SES to children’s health (Bradley &amp; Corwyn, 2002). Thus, the use of multiple indices of SES is i"mperative for delineating relations between SES and child health.”</w:t>
      </w:r>
    </w:p>
    <w:p>
      <w:pPr>
        <w:pStyle w:val="Normal"/>
        <w:numPr>
          <w:ilvl w:val="4"/>
          <w:numId w:val="4"/>
        </w:numPr>
        <w:jc w:val="left"/>
        <w:rPr/>
      </w:pPr>
      <w:r>
        <w:rPr>
          <w:rFonts w:ascii="Times New Roman" w:hAnsi="Times New Roman"/>
          <w:u w:val="none"/>
        </w:rPr>
        <w:t>e.g., “Finally, Brown and colleagues (1996) suggested that social class is a psychological phenomenon given its relational nature (e.g., a person identifies with a group of people) and that each person has a social class identity. Given the psychological basis of social class identity, Brown and colleagues further argued that indices of social class that simply assess income, educational attainment, and occupational prestige miss this identity dimension of social class and thus are incomplete measures of social class.”</w:t>
      </w:r>
    </w:p>
    <w:p>
      <w:pPr>
        <w:pStyle w:val="Normal"/>
        <w:numPr>
          <w:ilvl w:val="4"/>
          <w:numId w:val="4"/>
        </w:numPr>
        <w:jc w:val="left"/>
        <w:rPr/>
      </w:pPr>
      <w:r>
        <w:rPr>
          <w:rFonts w:ascii="Times New Roman" w:hAnsi="Times New Roman"/>
          <w:u w:val="none"/>
        </w:rPr>
        <w:t>e.g., “Parents’ level of educational attainment is commonly used as a proxy for students’ social class background for the following reasons: (a) The social class status of one’s family of origin has a lasting effect on the social class identification of adults (Jackman &amp; Jackman, 1983), (b) attaining a 4-year degree is important for finding a high-status, professional job and gives one substantial advantages in lifetime earnings (Day &amp; Newburger, 2002; Pascarella &amp; Terenzini, 1991)”</w:t>
      </w:r>
    </w:p>
    <w:p>
      <w:pPr>
        <w:pStyle w:val="Normal"/>
        <w:numPr>
          <w:ilvl w:val="4"/>
          <w:numId w:val="4"/>
        </w:numPr>
        <w:jc w:val="left"/>
        <w:rPr>
          <w:rFonts w:ascii="Times New Roman" w:hAnsi="Times New Roman"/>
          <w:sz w:val="24"/>
          <w:szCs w:val="24"/>
          <w:u w:val="none"/>
        </w:rPr>
      </w:pPr>
      <w:r>
        <w:rPr>
          <w:rFonts w:ascii="Times New Roman" w:hAnsi="Times New Roman"/>
          <w:sz w:val="24"/>
          <w:szCs w:val="24"/>
          <w:u w:val="none"/>
        </w:rPr>
        <w:t xml:space="preserve">e.g., “Study 3 showed that low subjective SES causally increasesaggression. Although the manipulation suggests that we success-fully induced differences in the experience of social status, somereaders may be concerned that our manipulation in Study 3 primesmaterialistic desires or aspirations. Hence, in Study 4, we em-ployed a different approach to manipulate subjective SES. Con-cretely, we adapted a procedure byCallan, Shead, and Olson(2011)(see alsoBrown-Iannuzzi, Lundberg, Kay, &amp; Payne, 2015;Callan, Ellard, Shead, &amp; Hodgins, 2008). After answering a seriesof questions, participants were randomly assigned to either learnthat they have a higher SES than similar others, an SES in theaverage range of the socioeconomic status of similar others, or alower SES than similar others.” </w:t>
      </w:r>
    </w:p>
    <w:p>
      <w:pPr>
        <w:pStyle w:val="Normal"/>
        <w:numPr>
          <w:ilvl w:val="3"/>
          <w:numId w:val="4"/>
        </w:numPr>
        <w:jc w:val="left"/>
        <w:rPr/>
      </w:pPr>
      <w:r>
        <w:rPr>
          <w:rFonts w:ascii="Times New Roman" w:hAnsi="Times New Roman"/>
          <w:u w:val="none"/>
        </w:rPr>
        <w:t>“</w:t>
      </w:r>
      <w:r>
        <w:rPr>
          <w:rFonts w:ascii="Times New Roman" w:hAnsi="Times New Roman"/>
          <w:u w:val="none"/>
        </w:rPr>
        <w:t>Data availability” = Operationalization chosen, or not chosen, because of high, or low, availability for many participants</w:t>
      </w:r>
    </w:p>
    <w:p>
      <w:pPr>
        <w:pStyle w:val="Normal"/>
        <w:numPr>
          <w:ilvl w:val="4"/>
          <w:numId w:val="4"/>
        </w:numPr>
        <w:jc w:val="left"/>
        <w:rPr/>
      </w:pPr>
      <w:r>
        <w:rPr>
          <w:rFonts w:ascii="Times New Roman" w:hAnsi="Times New Roman"/>
          <w:u w:val="none"/>
        </w:rPr>
        <w:t>e.g., “An occupational measure of SES [at 22 years] was not used at that age because only about half of the subjects had completed their vocational studies by that age and had moved into working life”</w:t>
      </w:r>
    </w:p>
    <w:p>
      <w:pPr>
        <w:pStyle w:val="Normal"/>
        <w:numPr>
          <w:ilvl w:val="3"/>
          <w:numId w:val="4"/>
        </w:numPr>
        <w:jc w:val="left"/>
        <w:rPr/>
      </w:pPr>
      <w:r>
        <w:rPr>
          <w:rFonts w:ascii="Times New Roman" w:hAnsi="Times New Roman"/>
          <w:u w:val="none"/>
        </w:rPr>
        <w:t>“</w:t>
      </w:r>
      <w:r>
        <w:rPr>
          <w:rFonts w:ascii="Times New Roman" w:hAnsi="Times New Roman"/>
          <w:u w:val="none"/>
        </w:rPr>
        <w:t>Population appropriate” = Operationalization of SES particularly good for proxying SES within a particular population</w:t>
      </w:r>
    </w:p>
    <w:p>
      <w:pPr>
        <w:pStyle w:val="Normal"/>
        <w:numPr>
          <w:ilvl w:val="4"/>
          <w:numId w:val="4"/>
        </w:numPr>
        <w:jc w:val="left"/>
        <w:rPr/>
      </w:pPr>
      <w:r>
        <w:rPr>
          <w:rFonts w:ascii="Times New Roman" w:hAnsi="Times New Roman"/>
          <w:u w:val="none"/>
        </w:rPr>
        <w:t>e.g., “Our focus on family structural assets as a culturally ap-propriate measure of disadvantage may be a better proxy of socioeconomic risks that undermine maternal opportunities to de-velop verbal skills than of acute stressors known to affect maternalfluid intelligence and executive function skills.”</w:t>
      </w:r>
    </w:p>
    <w:p>
      <w:pPr>
        <w:pStyle w:val="Normal"/>
        <w:numPr>
          <w:ilvl w:val="4"/>
          <w:numId w:val="4"/>
        </w:numPr>
        <w:jc w:val="left"/>
        <w:rPr/>
      </w:pPr>
      <w:r>
        <w:rPr>
          <w:rFonts w:ascii="Times New Roman" w:hAnsi="Times New Roman"/>
          <w:u w:val="none"/>
        </w:rPr>
        <w:t>e.g., “In the Finnish schooling system, completing high school is the most prominent divisor as regards later educational attainment, and a prerequisite for practically all university studies.”</w:t>
      </w:r>
    </w:p>
    <w:p>
      <w:pPr>
        <w:pStyle w:val="Normal"/>
        <w:numPr>
          <w:ilvl w:val="4"/>
          <w:numId w:val="4"/>
        </w:numPr>
        <w:jc w:val="left"/>
        <w:rPr/>
      </w:pPr>
      <w:r>
        <w:rPr>
          <w:rFonts w:ascii="Times New Roman" w:hAnsi="Times New Roman"/>
          <w:u w:val="none"/>
        </w:rPr>
        <w:t>e.g., “This is also considered best for use with members of racial/ethnic minority groups, who do not receive the same financial gains for equivalent years of education as do Whites”</w:t>
      </w:r>
    </w:p>
    <w:p>
      <w:pPr>
        <w:pStyle w:val="Normal"/>
        <w:numPr>
          <w:ilvl w:val="4"/>
          <w:numId w:val="4"/>
        </w:numPr>
        <w:jc w:val="left"/>
        <w:rPr/>
      </w:pPr>
      <w:r>
        <w:rPr>
          <w:rFonts w:ascii="Times New Roman" w:hAnsi="Times New Roman"/>
          <w:u w:val="none"/>
        </w:rPr>
        <w:t xml:space="preserve">e.g., "Demographic data revealed that all racial/ethnic groups had approximately equivalent parental incomes with the exception of Latinos, who as a group had the lowest parental incomes. Consistent with this, research has shown that Latinos are typically viewed by Whites as poor (Goodwin &amp; Fiske, 1996) and low in social status (Jost, Pelham, &amp; Carvallo, 2002). </w:t>
      </w:r>
      <w:r>
        <w:rPr>
          <w:rFonts w:ascii="Times New Roman" w:hAnsi="Times New Roman"/>
          <w:sz w:val="24"/>
          <w:szCs w:val="24"/>
          <w:u w:val="none"/>
        </w:rPr>
        <w:t>Therefore,we reasoned that White and Latino students would be expected byparticipants to differ socioeconomically. Specifically, Latino stu-dents would be expected to come from low-socioeconomic status(SES) families (based on stereotypes and demographic informa-tion), White students would be expected to come from high-SESfamilies, and the reverse would be unexpected.”</w:t>
      </w:r>
    </w:p>
    <w:p>
      <w:pPr>
        <w:pStyle w:val="Normal"/>
        <w:numPr>
          <w:ilvl w:val="4"/>
          <w:numId w:val="4"/>
        </w:numPr>
        <w:jc w:val="left"/>
        <w:rPr/>
      </w:pPr>
      <w:r>
        <w:rPr>
          <w:rFonts w:ascii="Times New Roman" w:hAnsi="Times New Roman"/>
          <w:sz w:val="24"/>
          <w:szCs w:val="24"/>
          <w:u w:val="none"/>
        </w:rPr>
        <w:t>e.g., "Because Curhan et al. (2014) found that educational attainment (an objec- tive measure) and subjective social status (a subjective measure) work differently across cultures to predict well-being (see also Park et al., 2013), we included both objective and a subjective measures of SES to avoid being biased toward either culture."</w:t>
      </w:r>
    </w:p>
    <w:p>
      <w:pPr>
        <w:pStyle w:val="Normal"/>
        <w:numPr>
          <w:ilvl w:val="3"/>
          <w:numId w:val="4"/>
        </w:numPr>
        <w:jc w:val="left"/>
        <w:rPr/>
      </w:pPr>
      <w:r>
        <w:rPr>
          <w:rFonts w:ascii="Times New Roman" w:hAnsi="Times New Roman"/>
          <w:u w:val="none"/>
        </w:rPr>
        <w:t>“</w:t>
      </w:r>
      <w:r>
        <w:rPr>
          <w:rFonts w:ascii="Times New Roman" w:hAnsi="Times New Roman"/>
          <w:u w:val="none"/>
        </w:rPr>
        <w:t>Dataset provided” = Operationalization of SES was predetermined and given in the dataset used in t</w:t>
      </w:r>
      <w:r>
        <w:rPr>
          <w:rFonts w:ascii="Times New Roman" w:hAnsi="Times New Roman"/>
          <w:sz w:val="24"/>
          <w:szCs w:val="24"/>
          <w:u w:val="none"/>
        </w:rPr>
        <w:t>he study</w:t>
      </w:r>
    </w:p>
    <w:p>
      <w:pPr>
        <w:pStyle w:val="Normal"/>
        <w:numPr>
          <w:ilvl w:val="4"/>
          <w:numId w:val="4"/>
        </w:numPr>
        <w:jc w:val="left"/>
        <w:rPr/>
      </w:pPr>
      <w:r>
        <w:rPr>
          <w:rFonts w:ascii="Times New Roman" w:hAnsi="Times New Roman"/>
          <w:sz w:val="24"/>
          <w:szCs w:val="24"/>
          <w:u w:val="none"/>
        </w:rPr>
        <w:t>e.g., “The ECLS-K data set provides a continuous SES variable,which was utilized for our analyses.”</w:t>
      </w:r>
    </w:p>
    <w:p>
      <w:pPr>
        <w:pStyle w:val="Normal"/>
        <w:numPr>
          <w:ilvl w:val="3"/>
          <w:numId w:val="4"/>
        </w:numPr>
        <w:jc w:val="left"/>
        <w:rPr/>
      </w:pPr>
      <w:r>
        <w:rPr>
          <w:rFonts w:ascii="Times New Roman" w:hAnsi="Times New Roman"/>
          <w:sz w:val="24"/>
          <w:szCs w:val="24"/>
          <w:u w:val="none"/>
        </w:rPr>
        <w:t>“</w:t>
      </w:r>
      <w:r>
        <w:rPr>
          <w:rFonts w:ascii="Times New Roman" w:hAnsi="Times New Roman"/>
          <w:sz w:val="24"/>
          <w:szCs w:val="24"/>
          <w:u w:val="none"/>
        </w:rPr>
        <w:t>Temporal stability” = Operationalization of SES chosen because of temporal stability (or instability) of indicators</w:t>
      </w:r>
    </w:p>
    <w:p>
      <w:pPr>
        <w:pStyle w:val="Normal"/>
        <w:numPr>
          <w:ilvl w:val="4"/>
          <w:numId w:val="4"/>
        </w:numPr>
        <w:jc w:val="left"/>
        <w:rPr/>
      </w:pPr>
      <w:r>
        <w:rPr>
          <w:rFonts w:ascii="Times New Roman" w:hAnsi="Times New Roman"/>
          <w:sz w:val="24"/>
          <w:szCs w:val="24"/>
          <w:u w:val="none"/>
        </w:rPr>
        <w:t>e.g., “SES variables wereselected based on their relative stability overtime and specific relation to health disparityintervention research (Shavers, 2007).”</w:t>
      </w:r>
    </w:p>
    <w:p>
      <w:pPr>
        <w:pStyle w:val="Normal"/>
        <w:numPr>
          <w:ilvl w:val="3"/>
          <w:numId w:val="4"/>
        </w:numPr>
        <w:jc w:val="left"/>
        <w:rPr/>
      </w:pPr>
      <w:r>
        <w:rPr>
          <w:rFonts w:ascii="Times New Roman" w:hAnsi="Times New Roman"/>
          <w:sz w:val="24"/>
          <w:szCs w:val="24"/>
          <w:u w:val="none"/>
        </w:rPr>
        <w:t>“</w:t>
      </w:r>
      <w:r>
        <w:rPr>
          <w:rFonts w:ascii="Times New Roman" w:hAnsi="Times New Roman"/>
          <w:sz w:val="24"/>
          <w:szCs w:val="24"/>
          <w:u w:val="none"/>
        </w:rPr>
        <w:t>Presumed relation” = Operationalization of SES chosen because indicators thought to relate to outcome</w:t>
      </w:r>
    </w:p>
    <w:p>
      <w:pPr>
        <w:pStyle w:val="Normal"/>
        <w:numPr>
          <w:ilvl w:val="4"/>
          <w:numId w:val="4"/>
        </w:numPr>
        <w:jc w:val="left"/>
        <w:rPr/>
      </w:pPr>
      <w:r>
        <w:rPr>
          <w:rFonts w:ascii="Times New Roman" w:hAnsi="Times New Roman"/>
          <w:sz w:val="24"/>
          <w:szCs w:val="24"/>
          <w:u w:val="none"/>
        </w:rPr>
        <w:t>e.g., “The relatively stable contextual factors of family-of-origin SES (education and occupation) and income were tested because they were hypothesized to relate to ongoing developmental contextual risk for the youth.”</w:t>
      </w:r>
    </w:p>
    <w:p>
      <w:pPr>
        <w:pStyle w:val="Normal"/>
        <w:numPr>
          <w:ilvl w:val="4"/>
          <w:numId w:val="4"/>
        </w:numPr>
        <w:jc w:val="left"/>
        <w:rPr/>
      </w:pPr>
      <w:r>
        <w:rPr>
          <w:rFonts w:ascii="Times New Roman" w:hAnsi="Times New Roman"/>
          <w:sz w:val="24"/>
          <w:szCs w:val="24"/>
          <w:u w:val="none"/>
        </w:rPr>
        <w:t>e.g., "Although similar patterns were observed across all the indices of SES, cultural differences were largest for education. Among indi- ces of SES, educational attainment has often been suggested to be the best indicator because it predicts future job characteristics and income and is most closely associated with values and psycholog- ical tendencies (Stephens, Fryberg, &amp; Markus, 2012). Education likely plays the key role in instilling culturally sanctioned tasks associated with SES."</w:t>
      </w:r>
    </w:p>
    <w:p>
      <w:pPr>
        <w:pStyle w:val="Normal"/>
        <w:numPr>
          <w:ilvl w:val="4"/>
          <w:numId w:val="4"/>
        </w:numPr>
        <w:jc w:val="left"/>
        <w:rPr/>
      </w:pPr>
      <w:r>
        <w:rPr>
          <w:rFonts w:ascii="Times New Roman" w:hAnsi="Times New Roman"/>
          <w:sz w:val="24"/>
          <w:szCs w:val="24"/>
          <w:u w:val="none"/>
        </w:rPr>
        <w:t>e.g., “Parents’ level of educational attainment is commonly used as a proxy for students’ social class background for the following reasons: (a) The social class status of one’s family of origin has a lasting effect on the social class identification of adults (Jackman &amp; Jackman, 1983), (b) attaining a 4-year degree is important for finding a high-status, professional job and gives one substantial advantages in lifetime earnings (Day &amp; Newburger, 2002; Pascarella &amp; Terenzini, 1991), and (c) among the three commonly used indicators of social class status (education, income, occupation), education is the best predictor of a wide range of beliefs (Davis, 1994) and is the most closely associated with lifestyle, behavior, and psychological functioning (Kohn &amp; Schooler, 1983; Matthews, Kelsey, Meilahn, Kuller, &amp; Wing, 1989; Snibbe &amp; Markus, 2005)." (p. 1179); "Specifically, middle-class contexts are characterized by access to economic capital, geographic mobility, and ample opportunities for choice, control, and influence (Kohn, 1969; Patillo-McCoy, 1999). These material realities also promote socialization practices that convey to children a sense of self-importance and individual entitlement (Miller, Cho, &amp; Bracey, 2005)... Specifically, working-class contexts are characterized by limited economic cap- ital, environmental constraints and uncertainty, and few opportu- nities for choice, control, and influence (Chen &amp; Matthews, 2001; Lachman &amp; Weaver, 1998; Reay, Davies, David, &amp; Ball, 2001)... These working-class realities often promote socialization practices that encourage children to recognize their place in the social hierarchy, to follow the rules and social norms, and to be responsive to others’ needs (Fiske &amp; Markus, in press; Kohn, 1969; Kusserow, 1999; Lamont, 2000; Piff, Kraus, Coˆte ́, Cheng, &amp; Keltner, 2010; Stephens et al., 2011)."</w:t>
      </w:r>
    </w:p>
    <w:p>
      <w:pPr>
        <w:pStyle w:val="Normal"/>
        <w:numPr>
          <w:ilvl w:val="2"/>
          <w:numId w:val="4"/>
        </w:numPr>
        <w:jc w:val="left"/>
        <w:rPr/>
      </w:pPr>
      <w:r>
        <w:rPr>
          <w:rFonts w:ascii="Times New Roman" w:hAnsi="Times New Roman"/>
          <w:u w:val="none"/>
        </w:rPr>
        <w:t>From data (modeling procedures):</w:t>
      </w:r>
    </w:p>
    <w:p>
      <w:pPr>
        <w:pStyle w:val="Normal"/>
        <w:numPr>
          <w:ilvl w:val="3"/>
          <w:numId w:val="4"/>
        </w:numPr>
        <w:jc w:val="left"/>
        <w:rPr/>
      </w:pPr>
      <w:r>
        <w:rPr>
          <w:rFonts w:ascii="Times New Roman" w:hAnsi="Times New Roman"/>
          <w:u w:val="none"/>
        </w:rPr>
        <w:t>“</w:t>
      </w:r>
      <w:r>
        <w:rPr>
          <w:rFonts w:ascii="Times New Roman" w:hAnsi="Times New Roman"/>
          <w:u w:val="none"/>
        </w:rPr>
        <w:t>Sample size” = Operationalization [modeling procedure] of SES particularly appropriate for the sample size of the study</w:t>
      </w:r>
    </w:p>
    <w:p>
      <w:pPr>
        <w:pStyle w:val="Normal"/>
        <w:numPr>
          <w:ilvl w:val="4"/>
          <w:numId w:val="4"/>
        </w:numPr>
        <w:jc w:val="left"/>
        <w:rPr/>
      </w:pPr>
      <w:r>
        <w:rPr>
          <w:rFonts w:ascii="Times New Roman" w:hAnsi="Times New Roman"/>
          <w:u w:val="none"/>
        </w:rPr>
        <w:t>e.g., “Partial least squares modeling isideal for examining all of the possible associations between thevariables of interest as it can be used with small data sets and isrecommended for exploratory purposes, as it does not have thestrict measurement and distributional requirements of other mod-eling procedure”</w:t>
      </w:r>
    </w:p>
    <w:p>
      <w:pPr>
        <w:pStyle w:val="Normal"/>
        <w:numPr>
          <w:ilvl w:val="3"/>
          <w:numId w:val="4"/>
        </w:numPr>
        <w:jc w:val="left"/>
        <w:rPr/>
      </w:pPr>
      <w:r>
        <w:rPr>
          <w:rFonts w:ascii="Times New Roman" w:hAnsi="Times New Roman"/>
          <w:u w:val="none"/>
        </w:rPr>
        <w:t>“</w:t>
      </w:r>
      <w:r>
        <w:rPr>
          <w:rFonts w:ascii="Times New Roman" w:hAnsi="Times New Roman"/>
          <w:u w:val="none"/>
        </w:rPr>
        <w:t>Noninterchangeable” = Operationalization [modeling procedure] of SES designed to address non-equivalence of indicators of SES</w:t>
      </w:r>
    </w:p>
    <w:p>
      <w:pPr>
        <w:pStyle w:val="Normal"/>
        <w:numPr>
          <w:ilvl w:val="4"/>
          <w:numId w:val="4"/>
        </w:numPr>
        <w:jc w:val="left"/>
        <w:rPr/>
      </w:pPr>
      <w:r>
        <w:rPr>
          <w:rFonts w:ascii="Times New Roman" w:hAnsi="Times New Roman"/>
          <w:u w:val="none"/>
        </w:rPr>
        <w:t>e.g., “Though related, indicators of SES are notinterchangeable, as each may affect disease risk in different ways(Braveman et al., 2005), and therefore may have different inter-vention implications.”</w:t>
      </w:r>
    </w:p>
    <w:p>
      <w:pPr>
        <w:pStyle w:val="Normal"/>
        <w:numPr>
          <w:ilvl w:val="3"/>
          <w:numId w:val="4"/>
        </w:numPr>
        <w:jc w:val="left"/>
        <w:rPr/>
      </w:pPr>
      <w:r>
        <w:rPr>
          <w:rFonts w:ascii="Times New Roman" w:hAnsi="Times New Roman"/>
          <w:u w:val="none"/>
        </w:rPr>
        <w:t>“</w:t>
      </w:r>
      <w:r>
        <w:rPr>
          <w:rFonts w:ascii="Times New Roman" w:hAnsi="Times New Roman"/>
          <w:u w:val="none"/>
        </w:rPr>
        <w:t>Reduce measurement error” = Operationalization of SES intended to reduce measurement error that impacts alternative operationalizations [modeling procedures]</w:t>
      </w:r>
    </w:p>
    <w:p>
      <w:pPr>
        <w:pStyle w:val="Normal"/>
        <w:numPr>
          <w:ilvl w:val="4"/>
          <w:numId w:val="4"/>
        </w:numPr>
        <w:jc w:val="left"/>
        <w:rPr/>
      </w:pPr>
      <w:r>
        <w:rPr>
          <w:rFonts w:ascii="Times New Roman" w:hAnsi="Times New Roman"/>
          <w:u w:val="none"/>
        </w:rPr>
        <w:t>e.g., “SEM allows the simultaneous test of a hypothesized structure of relationships among variables of interest as well an inclusive test of the measurement model of the latent or unobserved variables (i.e., SES, mental illness). When this is not done, measurement error in the composite variables is ignored.”</w:t>
      </w:r>
    </w:p>
    <w:p>
      <w:pPr>
        <w:pStyle w:val="Normal"/>
        <w:numPr>
          <w:ilvl w:val="3"/>
          <w:numId w:val="4"/>
        </w:numPr>
        <w:jc w:val="left"/>
        <w:rPr>
          <w:b w:val="false"/>
          <w:b w:val="false"/>
          <w:bCs w:val="false"/>
        </w:rPr>
      </w:pPr>
      <w:r>
        <w:rPr>
          <w:rFonts w:ascii="Times New Roman" w:hAnsi="Times New Roman"/>
          <w:b w:val="false"/>
          <w:bCs w:val="false"/>
          <w:u w:val="none"/>
        </w:rPr>
        <w:t>“</w:t>
      </w:r>
      <w:r>
        <w:rPr>
          <w:rFonts w:ascii="Times New Roman" w:hAnsi="Times New Roman"/>
          <w:b w:val="false"/>
          <w:bCs w:val="false"/>
          <w:u w:val="none"/>
        </w:rPr>
        <w:t>Prior work” = prior research used same operationalization [modeling procedure], but no stated relevance of operationalization to current study</w:t>
      </w:r>
    </w:p>
    <w:p>
      <w:pPr>
        <w:pStyle w:val="Normal"/>
        <w:numPr>
          <w:ilvl w:val="4"/>
          <w:numId w:val="4"/>
        </w:numPr>
        <w:jc w:val="left"/>
        <w:rPr/>
      </w:pPr>
      <w:r>
        <w:rPr>
          <w:rFonts w:ascii="Times New Roman" w:hAnsi="Times New Roman"/>
          <w:b w:val="false"/>
          <w:bCs w:val="false"/>
          <w:u w:val="none"/>
        </w:rPr>
        <w:t xml:space="preserve">e.g., </w:t>
      </w:r>
      <w:r>
        <w:rPr>
          <w:rFonts w:ascii="Times New Roman" w:hAnsi="Times New Roman"/>
          <w:b w:val="false"/>
          <w:bCs w:val="false"/>
          <w:sz w:val="24"/>
          <w:szCs w:val="24"/>
          <w:u w:val="none"/>
        </w:rPr>
        <w:t>“On the basis of previousresearch with children with a multiple risk model (e.g., Burchinal,Roberts, Hooper, &amp; Zeisel, 2000), one point was given for each ofthe following risks: family income was below federal povertyguidelines adjusted for family size, both parents were unemployed,the mother was single, the mother gave birth to the target child asa teen, the family had four or more dependent children, the motherdid not complete high school, and the father did not complete highschool. This index could range from 0 to 7, with higher scoresreflecting more SES risks. Cronbach’s alpha was .75”</w:t>
      </w:r>
    </w:p>
    <w:p>
      <w:pPr>
        <w:pStyle w:val="Normal"/>
        <w:numPr>
          <w:ilvl w:val="4"/>
          <w:numId w:val="4"/>
        </w:numPr>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e.g., "Similar risk composites have previously been used in studies with low-income, minority samples (e.g., Li-Grining, 2007)." </w:t>
      </w:r>
    </w:p>
    <w:p>
      <w:pPr>
        <w:pStyle w:val="Normal"/>
        <w:numPr>
          <w:ilvl w:val="3"/>
          <w:numId w:val="4"/>
        </w:numPr>
        <w:jc w:val="left"/>
        <w:rPr>
          <w:b w:val="false"/>
          <w:b w:val="false"/>
          <w:bCs w:val="false"/>
        </w:rPr>
      </w:pPr>
      <w:r>
        <w:rPr>
          <w:rFonts w:ascii="Times New Roman" w:hAnsi="Times New Roman"/>
          <w:b w:val="false"/>
          <w:bCs w:val="false"/>
          <w:sz w:val="24"/>
          <w:szCs w:val="24"/>
          <w:u w:val="none"/>
        </w:rPr>
        <w:t>“</w:t>
      </w:r>
      <w:r>
        <w:rPr>
          <w:rFonts w:ascii="Times New Roman" w:hAnsi="Times New Roman"/>
          <w:b w:val="false"/>
          <w:bCs w:val="false"/>
          <w:sz w:val="24"/>
          <w:szCs w:val="24"/>
          <w:u w:val="none"/>
        </w:rPr>
        <w:t>Correlated” = Modeling procedure chosen because indicators of SES were correlated (or not)</w:t>
      </w:r>
    </w:p>
    <w:p>
      <w:pPr>
        <w:pStyle w:val="Normal"/>
        <w:numPr>
          <w:ilvl w:val="4"/>
          <w:numId w:val="4"/>
        </w:numPr>
        <w:jc w:val="left"/>
        <w:rPr/>
      </w:pPr>
      <w:r>
        <w:rPr>
          <w:rFonts w:ascii="Times New Roman" w:hAnsi="Times New Roman"/>
          <w:b w:val="false"/>
          <w:bCs w:val="false"/>
          <w:sz w:val="24"/>
          <w:szCs w:val="24"/>
          <w:u w:val="none"/>
        </w:rPr>
        <w:t>e.g., “Family income and SES weresignificantly associated (r.41,p.01) and therefore were combined bytaking the mean of their standardized scores to arrive at a global measureof SES/income over Study Years 3, 5, and 7.”</w:t>
      </w:r>
    </w:p>
    <w:p>
      <w:pPr>
        <w:pStyle w:val="Normal"/>
        <w:numPr>
          <w:ilvl w:val="4"/>
          <w:numId w:val="4"/>
        </w:numPr>
        <w:jc w:val="left"/>
        <w:rPr/>
      </w:pPr>
      <w:r>
        <w:rPr>
          <w:rFonts w:ascii="Times New Roman" w:hAnsi="Times New Roman"/>
          <w:b w:val="false"/>
          <w:bCs w:val="false"/>
          <w:sz w:val="24"/>
          <w:szCs w:val="24"/>
          <w:u w:val="none"/>
        </w:rPr>
        <w:t>e.g., “</w:t>
      </w:r>
      <w:r>
        <w:rPr>
          <w:rFonts w:ascii="Times New Roman" w:hAnsi="Times New Roman"/>
          <w:b w:val="false"/>
          <w:bCs w:val="false"/>
          <w:sz w:val="24"/>
          <w:szCs w:val="24"/>
          <w:u w:val="none"/>
        </w:rPr>
        <w:t>Cronbach’s alpha was .75. Family SES risks at all other time points were highly correlated with NICU SES risks; we used the NICU SES risk index to minimize missing data”</w:t>
      </w:r>
    </w:p>
    <w:p>
      <w:pPr>
        <w:pStyle w:val="Normal"/>
        <w:numPr>
          <w:ilvl w:val="4"/>
          <w:numId w:val="4"/>
        </w:numPr>
        <w:jc w:val="left"/>
        <w:rPr/>
      </w:pPr>
      <w:r>
        <w:rPr>
          <w:rFonts w:ascii="Times New Roman" w:hAnsi="Times New Roman"/>
          <w:b w:val="false"/>
          <w:bCs w:val="false"/>
          <w:sz w:val="24"/>
          <w:szCs w:val="24"/>
          <w:u w:val="none"/>
        </w:rPr>
        <w:t xml:space="preserve">e.g., </w:t>
      </w:r>
      <w:r>
        <w:rPr>
          <w:rFonts w:ascii="Times New Roman" w:hAnsi="Times New Roman"/>
          <w:b w:val="false"/>
          <w:bCs w:val="false"/>
          <w:sz w:val="24"/>
          <w:szCs w:val="24"/>
          <w:u w:val="none"/>
        </w:rPr>
        <w:t>“Because past and current income were significantly correlated, r(89) .65, p .01, we created a composite measure of income by taking the mean of these two indicators”</w:t>
      </w:r>
    </w:p>
    <w:p>
      <w:pPr>
        <w:pStyle w:val="Normal"/>
        <w:numPr>
          <w:ilvl w:val="4"/>
          <w:numId w:val="4"/>
        </w:numPr>
        <w:jc w:val="left"/>
        <w:rPr/>
      </w:pPr>
      <w:r>
        <w:rPr>
          <w:rFonts w:ascii="Times New Roman" w:hAnsi="Times New Roman"/>
          <w:b w:val="false"/>
          <w:bCs w:val="false"/>
          <w:sz w:val="24"/>
          <w:szCs w:val="24"/>
          <w:u w:val="none"/>
        </w:rPr>
        <w:t>e.</w:t>
      </w:r>
      <w:r>
        <w:rPr>
          <w:rFonts w:ascii="Times New Roman" w:hAnsi="Times New Roman"/>
          <w:b w:val="false"/>
          <w:bCs w:val="false"/>
          <w:sz w:val="24"/>
          <w:szCs w:val="24"/>
          <w:u w:val="none"/>
        </w:rPr>
        <w:t xml:space="preserve">g., </w:t>
      </w:r>
      <w:r>
        <w:rPr>
          <w:rFonts w:ascii="Times New Roman" w:hAnsi="Times New Roman"/>
          <w:b w:val="false"/>
          <w:bCs w:val="false"/>
          <w:sz w:val="24"/>
          <w:szCs w:val="24"/>
          <w:u w:val="none"/>
        </w:rPr>
        <w:t>“A student’s mother’s and father’s educational level was coded on a four-point scale (1 – elementary, 2 – vocational, 3 – high school, 4 – college/university) and then summed. The reliability of this scale was satisfactory (</w:t>
        <w:t xml:space="preserve"> .73).” </w:t>
      </w:r>
      <w:r>
        <w:rPr>
          <w:rFonts w:ascii="Times New Roman" w:hAnsi="Times New Roman"/>
          <w:b w:val="false"/>
          <w:bCs w:val="false"/>
          <w:sz w:val="24"/>
          <w:szCs w:val="24"/>
          <w:u w:val="none"/>
        </w:rPr>
        <w:t>(</w:t>
      </w:r>
      <w:r>
        <w:rPr>
          <w:rFonts w:ascii="Times New Roman" w:hAnsi="Times New Roman"/>
          <w:b w:val="false"/>
          <w:bCs w:val="false"/>
          <w:sz w:val="24"/>
          <w:szCs w:val="24"/>
          <w:u w:val="none"/>
        </w:rPr>
        <w:t>p.157</w:t>
      </w:r>
      <w:r>
        <w:rPr>
          <w:rFonts w:ascii="Times New Roman" w:hAnsi="Times New Roman"/>
          <w:b w:val="false"/>
          <w:bCs w:val="false"/>
          <w:sz w:val="24"/>
          <w:szCs w:val="24"/>
          <w:u w:val="none"/>
        </w:rPr>
        <w:t>)</w:t>
      </w:r>
    </w:p>
    <w:p>
      <w:pPr>
        <w:pStyle w:val="Normal"/>
        <w:numPr>
          <w:ilvl w:val="3"/>
          <w:numId w:val="4"/>
        </w:numPr>
        <w:jc w:val="left"/>
        <w:rPr>
          <w:b w:val="false"/>
          <w:b w:val="false"/>
          <w:bCs w:val="false"/>
        </w:rPr>
      </w:pPr>
      <w:r>
        <w:rPr>
          <w:rFonts w:ascii="Times New Roman" w:hAnsi="Times New Roman"/>
          <w:b w:val="false"/>
          <w:bCs w:val="false"/>
          <w:sz w:val="24"/>
          <w:szCs w:val="24"/>
          <w:u w:val="none"/>
        </w:rPr>
        <w:t>“</w:t>
      </w:r>
      <w:r>
        <w:rPr>
          <w:rFonts w:ascii="Times New Roman" w:hAnsi="Times New Roman"/>
          <w:b w:val="false"/>
          <w:bCs w:val="false"/>
          <w:sz w:val="24"/>
          <w:szCs w:val="24"/>
          <w:u w:val="none"/>
        </w:rPr>
        <w:t>Distinct pathways” = Modeling procedure chosen because indicators SES thought to reflect different mechanisms through which SES relates to the outcome</w:t>
      </w:r>
    </w:p>
    <w:p>
      <w:pPr>
        <w:pStyle w:val="Normal"/>
        <w:numPr>
          <w:ilvl w:val="4"/>
          <w:numId w:val="4"/>
        </w:numPr>
        <w:jc w:val="left"/>
        <w:rPr/>
      </w:pPr>
      <w:r>
        <w:rPr>
          <w:rFonts w:ascii="Times New Roman" w:hAnsi="Times New Roman"/>
          <w:b w:val="false"/>
          <w:bCs w:val="false"/>
          <w:sz w:val="24"/>
          <w:szCs w:val="24"/>
          <w:u w:val="none"/>
        </w:rPr>
        <w:t>e.g., “</w:t>
      </w:r>
      <w:r>
        <w:rPr>
          <w:rFonts w:ascii="Times New Roman" w:hAnsi="Times New Roman"/>
          <w:sz w:val="24"/>
          <w:szCs w:val="24"/>
          <w:u w:val="none"/>
        </w:rPr>
        <w:t>One of the several pathways through which SES ultimately affects health outcomes is through education’s effect on ability to understand and act upon health communications (Link &amp; Phelan, 1995; Smith et al., 2012; Viswanath et al., 2006; Viswanath &amp; Finnegan, 1996). Second, there are a number of plausible ways in which SES might shift individuals’ beliefs about cancer and screening. Moreover, lower SES is associated with poorer knowledge about screening procedures (King-Marshall et al., 2016). In addition, SES may affect perceptions of barriers to screening and efficacy for screening since factors such as cost, insurance coverage, and ability to take time off work can serve as both real and perceived barriers to screening uptake (James et al., 2008).</w:t>
      </w:r>
      <w:r>
        <w:rPr>
          <w:rFonts w:ascii="Times New Roman" w:hAnsi="Times New Roman"/>
          <w:b w:val="false"/>
          <w:bCs w:val="false"/>
          <w:sz w:val="24"/>
          <w:szCs w:val="24"/>
          <w:u w:val="none"/>
        </w:rPr>
        <w:t>”</w:t>
      </w:r>
    </w:p>
    <w:p>
      <w:pPr>
        <w:pStyle w:val="Normal"/>
        <w:numPr>
          <w:ilvl w:val="4"/>
          <w:numId w:val="4"/>
        </w:numPr>
        <w:jc w:val="left"/>
        <w:rPr/>
      </w:pPr>
      <w:r>
        <w:rPr>
          <w:rFonts w:ascii="Times New Roman" w:hAnsi="Times New Roman"/>
          <w:b w:val="false"/>
          <w:bCs w:val="false"/>
          <w:sz w:val="24"/>
          <w:szCs w:val="24"/>
          <w:u w:val="none"/>
        </w:rPr>
        <w:t>e.g., "However, SES can be indexed by a wide range of variables, including material wealth and occupational conditions. Because World Values Survey (WVS) offered these SES indices, we ex- plored how the patterns of the results might differ across different indices of SES by testing multiple facets of SES in Study 2a."</w:t>
      </w:r>
    </w:p>
    <w:p>
      <w:pPr>
        <w:pStyle w:val="Normal"/>
        <w:numPr>
          <w:ilvl w:val="3"/>
          <w:numId w:val="4"/>
        </w:numPr>
        <w:jc w:val="left"/>
        <w:rPr/>
      </w:pPr>
      <w:r>
        <w:rPr>
          <w:rFonts w:ascii="Times New Roman" w:hAnsi="Times New Roman"/>
          <w:b w:val="false"/>
          <w:bCs w:val="false"/>
          <w:sz w:val="24"/>
          <w:szCs w:val="24"/>
          <w:u w:val="none"/>
        </w:rPr>
        <w:t>“</w:t>
      </w:r>
      <w:r>
        <w:rPr>
          <w:rFonts w:ascii="Times New Roman" w:hAnsi="Times New Roman"/>
          <w:b w:val="false"/>
          <w:bCs w:val="false"/>
          <w:sz w:val="24"/>
          <w:szCs w:val="24"/>
          <w:u w:val="none"/>
        </w:rPr>
        <w:t>Maximize prediction” = Modeling procedure chosen because thought to maximize predictive ability for outcome</w:t>
      </w:r>
    </w:p>
    <w:p>
      <w:pPr>
        <w:pStyle w:val="Normal"/>
        <w:numPr>
          <w:ilvl w:val="4"/>
          <w:numId w:val="4"/>
        </w:numPr>
        <w:jc w:val="left"/>
        <w:rPr/>
      </w:pPr>
      <w:r>
        <w:rPr>
          <w:rFonts w:ascii="Times New Roman" w:hAnsi="Times New Roman"/>
          <w:b w:val="false"/>
          <w:bCs w:val="false"/>
          <w:sz w:val="24"/>
          <w:szCs w:val="24"/>
          <w:u w:val="none"/>
        </w:rPr>
        <w:t xml:space="preserve">e.g., "It is widely recognized that risk factors such as poverty, sin- gle parenthood, low parental education, and unemployment often occur together (Masten et al., 1995) and are generally more predictive when examined cumulatively (Burchinal, Vernon-Feagans, Cox, &amp; Key Family Life Project Investigators, 2008)." </w:t>
      </w:r>
    </w:p>
    <w:p>
      <w:pPr>
        <w:pStyle w:val="Normal"/>
        <w:numPr>
          <w:ilvl w:val="3"/>
          <w:numId w:val="4"/>
        </w:numPr>
        <w:jc w:val="left"/>
        <w:rPr/>
      </w:pPr>
      <w:r>
        <w:rPr>
          <w:rFonts w:ascii="Times New Roman" w:hAnsi="Times New Roman"/>
          <w:b w:val="false"/>
          <w:bCs w:val="false"/>
          <w:sz w:val="24"/>
          <w:szCs w:val="24"/>
          <w:u w:val="none"/>
        </w:rPr>
        <w:t>“</w:t>
      </w:r>
      <w:r>
        <w:rPr>
          <w:rFonts w:ascii="Times New Roman" w:hAnsi="Times New Roman"/>
          <w:b w:val="false"/>
          <w:bCs w:val="false"/>
          <w:sz w:val="24"/>
          <w:szCs w:val="24"/>
          <w:u w:val="none"/>
        </w:rPr>
        <w:t>Unidimensional” = Modeling procedure chosen because obtained evidence that indicators conformed to unidimensional factor model</w:t>
      </w:r>
    </w:p>
    <w:p>
      <w:pPr>
        <w:pStyle w:val="Normal"/>
        <w:numPr>
          <w:ilvl w:val="4"/>
          <w:numId w:val="4"/>
        </w:numPr>
        <w:jc w:val="left"/>
        <w:rPr/>
      </w:pPr>
      <w:r>
        <w:rPr>
          <w:rFonts w:ascii="Times New Roman" w:hAnsi="Times New Roman"/>
          <w:b w:val="false"/>
          <w:bCs w:val="false"/>
          <w:sz w:val="24"/>
          <w:szCs w:val="24"/>
          <w:u w:val="none"/>
        </w:rPr>
        <w:t>e.g., “</w:t>
      </w:r>
      <w:r>
        <w:rPr>
          <w:rFonts w:ascii="Times New Roman" w:hAnsi="Times New Roman"/>
          <w:b w:val="false"/>
          <w:bCs w:val="false"/>
          <w:sz w:val="24"/>
          <w:szCs w:val="24"/>
          <w:u w:val="none"/>
        </w:rPr>
        <w:t>principal-axis factor analysis using varimax rotation of the five social class items yielded a single factor with an eigenvalue above 1.0 (2.99) that accounted for 60% of the variance. All factor loadings exceeded .58. Moreover, the measures for childhood social class (M = 4.66, SD = 1.39, 𝛼 = .77) and current social class (M = 4.61, SD = 1.58, 𝛼 = .77) were highly correlated, r(112) = .58, p &lt; .01, and the five items demonstrated high internal consistency (𝛼 = .82). Thus, we formed a composite measure by averaging the five childhood and current social class items (M = 4.64, SD = 1.29)." (p. 957)</w:t>
      </w:r>
    </w:p>
    <w:p>
      <w:pPr>
        <w:pStyle w:val="Normal"/>
        <w:jc w:val="left"/>
        <w:rPr>
          <w:rFonts w:ascii="Times New Roman" w:hAnsi="Times New Roman"/>
          <w:u w:val="none"/>
        </w:rPr>
      </w:pPr>
      <w:r>
        <w:rPr>
          <w:rFonts w:ascii="Times New Roman" w:hAnsi="Times New Roman"/>
          <w:u w:val="none"/>
        </w:rPr>
        <w:t>Protocol for writing codes:</w:t>
      </w:r>
    </w:p>
    <w:p>
      <w:pPr>
        <w:pStyle w:val="Normal"/>
        <w:numPr>
          <w:ilvl w:val="0"/>
          <w:numId w:val="6"/>
        </w:numPr>
        <w:jc w:val="left"/>
        <w:rPr/>
      </w:pPr>
      <w:r>
        <w:rPr>
          <w:rFonts w:ascii="Times New Roman" w:hAnsi="Times New Roman"/>
          <w:u w:val="none"/>
        </w:rPr>
        <w:t>No abbreviations or conjunctions other than SES (i.e., write “did not”, not “don’t”)</w:t>
      </w:r>
    </w:p>
    <w:p>
      <w:pPr>
        <w:pStyle w:val="Normal"/>
        <w:numPr>
          <w:ilvl w:val="0"/>
          <w:numId w:val="6"/>
        </w:numPr>
        <w:jc w:val="left"/>
        <w:rPr/>
      </w:pPr>
      <w:r>
        <w:rPr>
          <w:rFonts w:ascii="Times New Roman" w:hAnsi="Times New Roman"/>
          <w:u w:val="none"/>
        </w:rPr>
        <w:t>Capitalize the first letter of each code</w:t>
      </w:r>
    </w:p>
    <w:p>
      <w:pPr>
        <w:pStyle w:val="Normal"/>
        <w:numPr>
          <w:ilvl w:val="0"/>
          <w:numId w:val="6"/>
        </w:numPr>
        <w:jc w:val="left"/>
        <w:rPr>
          <w:rFonts w:ascii="Times New Roman" w:hAnsi="Times New Roman"/>
          <w:u w:val="none"/>
        </w:rPr>
      </w:pPr>
      <w:r>
        <w:rPr>
          <w:rFonts w:ascii="Times New Roman" w:hAnsi="Times New Roman"/>
          <w:u w:val="none"/>
        </w:rPr>
        <w:t>Use spaces to separate words</w:t>
      </w:r>
    </w:p>
    <w:p>
      <w:pPr>
        <w:pStyle w:val="Normal"/>
        <w:numPr>
          <w:ilvl w:val="0"/>
          <w:numId w:val="6"/>
        </w:numPr>
        <w:jc w:val="left"/>
        <w:rPr>
          <w:rFonts w:ascii="Times New Roman" w:hAnsi="Times New Roman"/>
          <w:u w:val="none"/>
        </w:rPr>
      </w:pPr>
      <w:r>
        <w:rPr>
          <w:rFonts w:ascii="Times New Roman" w:hAnsi="Times New Roman"/>
          <w:u w:val="none"/>
        </w:rPr>
        <w:t>Structure rules:</w:t>
      </w:r>
    </w:p>
    <w:p>
      <w:pPr>
        <w:pStyle w:val="Normal"/>
        <w:numPr>
          <w:ilvl w:val="1"/>
          <w:numId w:val="6"/>
        </w:numPr>
        <w:jc w:val="left"/>
        <w:rPr>
          <w:rFonts w:ascii="Times New Roman" w:hAnsi="Times New Roman"/>
          <w:u w:val="none"/>
        </w:rPr>
      </w:pPr>
      <w:r>
        <w:rPr>
          <w:rFonts w:ascii="Times New Roman" w:hAnsi="Times New Roman"/>
          <w:u w:val="none"/>
        </w:rPr>
        <w:t>Each code contains two halves, separated by an underscore (“_”):</w:t>
      </w:r>
    </w:p>
    <w:p>
      <w:pPr>
        <w:pStyle w:val="Normal"/>
        <w:numPr>
          <w:ilvl w:val="2"/>
          <w:numId w:val="6"/>
        </w:numPr>
        <w:jc w:val="left"/>
        <w:rPr>
          <w:rFonts w:ascii="Times New Roman" w:hAnsi="Times New Roman"/>
          <w:u w:val="none"/>
        </w:rPr>
      </w:pPr>
      <w:r>
        <w:rPr>
          <w:rFonts w:ascii="Times New Roman" w:hAnsi="Times New Roman"/>
          <w:u w:val="none"/>
        </w:rPr>
        <w:t>Half 1 = Reason for indicators</w:t>
      </w:r>
    </w:p>
    <w:p>
      <w:pPr>
        <w:pStyle w:val="Normal"/>
        <w:numPr>
          <w:ilvl w:val="2"/>
          <w:numId w:val="6"/>
        </w:numPr>
        <w:jc w:val="left"/>
        <w:rPr>
          <w:rFonts w:ascii="Times New Roman" w:hAnsi="Times New Roman"/>
          <w:u w:val="none"/>
        </w:rPr>
      </w:pPr>
      <w:r>
        <w:rPr>
          <w:rFonts w:ascii="Times New Roman" w:hAnsi="Times New Roman"/>
          <w:u w:val="none"/>
        </w:rPr>
        <w:t>Half 2 = Reason for modeling procedure</w:t>
      </w:r>
    </w:p>
    <w:p>
      <w:pPr>
        <w:pStyle w:val="Normal"/>
        <w:numPr>
          <w:ilvl w:val="1"/>
          <w:numId w:val="6"/>
        </w:numPr>
        <w:jc w:val="left"/>
        <w:rPr>
          <w:rFonts w:ascii="Times New Roman" w:hAnsi="Times New Roman"/>
          <w:u w:val="none"/>
        </w:rPr>
      </w:pPr>
      <w:r>
        <w:rPr>
          <w:rFonts w:ascii="Times New Roman" w:hAnsi="Times New Roman"/>
          <w:u w:val="none"/>
        </w:rPr>
        <w:t>Within each half, different reasons are separated by a hyphen (“-”)</w:t>
      </w:r>
    </w:p>
    <w:p>
      <w:pPr>
        <w:pStyle w:val="Normal"/>
        <w:numPr>
          <w:ilvl w:val="2"/>
          <w:numId w:val="6"/>
        </w:numPr>
        <w:jc w:val="left"/>
        <w:rPr>
          <w:rFonts w:ascii="Times New Roman" w:hAnsi="Times New Roman"/>
          <w:u w:val="none"/>
        </w:rPr>
      </w:pPr>
      <w:r>
        <w:rPr>
          <w:rFonts w:ascii="Times New Roman" w:hAnsi="Times New Roman"/>
          <w:u w:val="none"/>
        </w:rPr>
        <w:t>e.g., “Prior work-Parallel forms_None given” indicates that a paper cited prior work using the same indicators and that the indicators correlate with other operationalizations of SES but provided no reason for the modeling procedure used</w:t>
      </w:r>
    </w:p>
    <w:p>
      <w:pPr>
        <w:pStyle w:val="Normal"/>
        <w:numPr>
          <w:ilvl w:val="2"/>
          <w:numId w:val="6"/>
        </w:numPr>
        <w:jc w:val="left"/>
        <w:rPr>
          <w:rFonts w:ascii="Times New Roman" w:hAnsi="Times New Roman"/>
          <w:u w:val="none"/>
        </w:rPr>
      </w:pPr>
      <w:r>
        <w:rPr>
          <w:rFonts w:ascii="Times New Roman" w:hAnsi="Times New Roman"/>
          <w:u w:val="none"/>
        </w:rPr>
        <w:t>e.g., “None given_None given” indicates that a paper gave no reasons for its choice of indicators or modeling procedure</w:t>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b w:val="false"/>
        <w:rFonts w:cs="OpenSymbol"/>
      </w:rPr>
    </w:lvl>
    <w:lvl w:ilvl="4">
      <w:start w:val="1"/>
      <w:numFmt w:val="bullet"/>
      <w:lvlText w:val="◦"/>
      <w:lvlJc w:val="left"/>
      <w:pPr>
        <w:tabs>
          <w:tab w:val="num" w:pos="2160"/>
        </w:tabs>
        <w:ind w:left="2160" w:hanging="360"/>
      </w:pPr>
      <w:rPr>
        <w:rFonts w:ascii="OpenSymbol" w:hAnsi="OpenSymbol" w:cs="OpenSymbol" w:hint="default"/>
        <w:sz w:val="24"/>
        <w:b w:val="false"/>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6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ascii="Times New Roman" w:hAnsi="Times New Roman" w:cs="OpenSymbol"/>
    </w:rPr>
  </w:style>
  <w:style w:type="character" w:styleId="ListLabel3">
    <w:name w:val="ListLabel 3"/>
    <w:qFormat/>
    <w:rPr>
      <w:rFonts w:ascii="Times New Roman" w:hAnsi="Times New Roman"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Times New Roman" w:hAnsi="Times New Roman" w:cs="OpenSymbol"/>
    </w:rPr>
  </w:style>
  <w:style w:type="character" w:styleId="ListLabel12">
    <w:name w:val="ListLabel 12"/>
    <w:qFormat/>
    <w:rPr>
      <w:rFonts w:ascii="Times New Roman" w:hAnsi="Times New Roman" w:cs="OpenSymbol"/>
    </w:rPr>
  </w:style>
  <w:style w:type="character" w:styleId="ListLabel13">
    <w:name w:val="ListLabel 13"/>
    <w:qFormat/>
    <w:rPr>
      <w:rFonts w:ascii="Times New Roman" w:hAnsi="Times New Roman"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Times New Roman" w:hAnsi="Times New Roman" w:cs="OpenSymbol"/>
    </w:rPr>
  </w:style>
  <w:style w:type="character" w:styleId="ListLabel21">
    <w:name w:val="ListLabel 21"/>
    <w:qFormat/>
    <w:rPr>
      <w:rFonts w:ascii="Times New Roman" w:hAnsi="Times New Roman" w:cs="OpenSymbol"/>
    </w:rPr>
  </w:style>
  <w:style w:type="character" w:styleId="ListLabel22">
    <w:name w:val="ListLabel 22"/>
    <w:qFormat/>
    <w:rPr>
      <w:rFonts w:ascii="Times New Roman" w:hAnsi="Times New Roman" w:cs="OpenSymbol"/>
    </w:rPr>
  </w:style>
  <w:style w:type="character" w:styleId="ListLabel23">
    <w:name w:val="ListLabel 23"/>
    <w:qFormat/>
    <w:rPr>
      <w:rFonts w:ascii="Times New Roman" w:hAnsi="Times New Roman"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rPr>
  </w:style>
  <w:style w:type="character" w:styleId="ListLabel29">
    <w:name w:val="ListLabel 29"/>
    <w:qFormat/>
    <w:rPr>
      <w:rFonts w:ascii="Times New Roman" w:hAnsi="Times New Roman" w:cs="OpenSymbol"/>
    </w:rPr>
  </w:style>
  <w:style w:type="character" w:styleId="ListLabel30">
    <w:name w:val="ListLabel 30"/>
    <w:qFormat/>
    <w:rPr>
      <w:rFonts w:ascii="Times New Roman" w:hAnsi="Times New Roman"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Times New Roman" w:hAnsi="Times New Roman" w:cs="OpenSymbol"/>
    </w:rPr>
  </w:style>
  <w:style w:type="character" w:styleId="ListLabel39">
    <w:name w:val="ListLabel 39"/>
    <w:qFormat/>
    <w:rPr>
      <w:rFonts w:ascii="Times New Roman" w:hAnsi="Times New Roman"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Times New Roman" w:hAnsi="Times New Roman" w:cs="OpenSymbol"/>
    </w:rPr>
  </w:style>
  <w:style w:type="character" w:styleId="ListLabel48">
    <w:name w:val="ListLabel 48"/>
    <w:qFormat/>
    <w:rPr>
      <w:rFonts w:ascii="Times New Roman" w:hAnsi="Times New Roman"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Times New Roman" w:hAnsi="Times New Roman" w:cs="OpenSymbol"/>
    </w:rPr>
  </w:style>
  <w:style w:type="character" w:styleId="ListLabel57">
    <w:name w:val="ListLabel 57"/>
    <w:qFormat/>
    <w:rPr>
      <w:rFonts w:ascii="Times New Roman" w:hAnsi="Times New Roman" w:cs="OpenSymbol"/>
    </w:rPr>
  </w:style>
  <w:style w:type="character" w:styleId="ListLabel58">
    <w:name w:val="ListLabel 58"/>
    <w:qFormat/>
    <w:rPr>
      <w:rFonts w:ascii="Times New Roman" w:hAnsi="Times New Roman" w:cs="OpenSymbol"/>
    </w:rPr>
  </w:style>
  <w:style w:type="character" w:styleId="ListLabel59">
    <w:name w:val="ListLabel 59"/>
    <w:qFormat/>
    <w:rPr>
      <w:rFonts w:ascii="Times New Roman" w:hAnsi="Times New Roman"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rPr>
  </w:style>
  <w:style w:type="character" w:styleId="ListLabel65">
    <w:name w:val="ListLabel 65"/>
    <w:qFormat/>
    <w:rPr>
      <w:rFonts w:ascii="Times New Roman" w:hAnsi="Times New Roman" w:cs="OpenSymbol"/>
    </w:rPr>
  </w:style>
  <w:style w:type="character" w:styleId="ListLabel66">
    <w:name w:val="ListLabel 66"/>
    <w:qFormat/>
    <w:rPr>
      <w:rFonts w:ascii="Times New Roman" w:hAnsi="Times New Roman"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Times New Roman" w:hAnsi="Times New Roman" w:cs="OpenSymbol"/>
    </w:rPr>
  </w:style>
  <w:style w:type="character" w:styleId="ListLabel75">
    <w:name w:val="ListLabel 75"/>
    <w:qFormat/>
    <w:rPr>
      <w:rFonts w:ascii="Times New Roman" w:hAnsi="Times New Roman"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ascii="Times New Roman" w:hAnsi="Times New Roman" w:cs="OpenSymbol"/>
    </w:rPr>
  </w:style>
  <w:style w:type="character" w:styleId="ListLabel84">
    <w:name w:val="ListLabel 84"/>
    <w:qFormat/>
    <w:rPr>
      <w:rFonts w:ascii="Times New Roman" w:hAnsi="Times New Roman"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ascii="Times New Roman" w:hAnsi="Times New Roman" w:cs="OpenSymbol"/>
    </w:rPr>
  </w:style>
  <w:style w:type="character" w:styleId="ListLabel93">
    <w:name w:val="ListLabel 93"/>
    <w:qFormat/>
    <w:rPr>
      <w:rFonts w:ascii="Times New Roman" w:hAnsi="Times New Roman" w:cs="OpenSymbol"/>
    </w:rPr>
  </w:style>
  <w:style w:type="character" w:styleId="ListLabel94">
    <w:name w:val="ListLabel 94"/>
    <w:qFormat/>
    <w:rPr>
      <w:rFonts w:ascii="Times New Roman" w:hAnsi="Times New Roman" w:cs="OpenSymbol"/>
    </w:rPr>
  </w:style>
  <w:style w:type="character" w:styleId="ListLabel95">
    <w:name w:val="ListLabel 95"/>
    <w:qFormat/>
    <w:rPr>
      <w:rFonts w:ascii="Times New Roman" w:hAnsi="Times New Roman"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rPr>
  </w:style>
  <w:style w:type="character" w:styleId="ListLabel101">
    <w:name w:val="ListLabel 101"/>
    <w:qFormat/>
    <w:rPr>
      <w:rFonts w:ascii="Times New Roman" w:hAnsi="Times New Roman" w:cs="OpenSymbol"/>
    </w:rPr>
  </w:style>
  <w:style w:type="character" w:styleId="ListLabel102">
    <w:name w:val="ListLabel 102"/>
    <w:qFormat/>
    <w:rPr>
      <w:rFonts w:ascii="Times New Roman" w:hAnsi="Times New Roman"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Times New Roman" w:hAnsi="Times New Roman" w:cs="OpenSymbol"/>
    </w:rPr>
  </w:style>
  <w:style w:type="character" w:styleId="ListLabel111">
    <w:name w:val="ListLabel 111"/>
    <w:qFormat/>
    <w:rPr>
      <w:rFonts w:ascii="Times New Roman" w:hAnsi="Times New Roman"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Times New Roman" w:hAnsi="Times New Roman" w:cs="OpenSymbol"/>
    </w:rPr>
  </w:style>
  <w:style w:type="character" w:styleId="ListLabel120">
    <w:name w:val="ListLabel 120"/>
    <w:qFormat/>
    <w:rPr>
      <w:rFonts w:ascii="Times New Roman" w:hAnsi="Times New Roman"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Times New Roman" w:hAnsi="Times New Roman" w:cs="OpenSymbol"/>
    </w:rPr>
  </w:style>
  <w:style w:type="character" w:styleId="ListLabel129">
    <w:name w:val="ListLabel 129"/>
    <w:qFormat/>
    <w:rPr>
      <w:rFonts w:ascii="Times New Roman" w:hAnsi="Times New Roman" w:cs="OpenSymbol"/>
    </w:rPr>
  </w:style>
  <w:style w:type="character" w:styleId="ListLabel130">
    <w:name w:val="ListLabel 130"/>
    <w:qFormat/>
    <w:rPr>
      <w:rFonts w:ascii="Times New Roman" w:hAnsi="Times New Roman" w:cs="OpenSymbol"/>
    </w:rPr>
  </w:style>
  <w:style w:type="character" w:styleId="ListLabel131">
    <w:name w:val="ListLabel 131"/>
    <w:qFormat/>
    <w:rPr>
      <w:rFonts w:ascii="Times New Roman" w:hAnsi="Times New Roman"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rPr>
  </w:style>
  <w:style w:type="character" w:styleId="ListLabel137">
    <w:name w:val="ListLabel 137"/>
    <w:qFormat/>
    <w:rPr>
      <w:rFonts w:ascii="Times New Roman" w:hAnsi="Times New Roman" w:cs="OpenSymbol"/>
    </w:rPr>
  </w:style>
  <w:style w:type="character" w:styleId="ListLabel138">
    <w:name w:val="ListLabel 138"/>
    <w:qFormat/>
    <w:rPr>
      <w:rFonts w:ascii="Times New Roman" w:hAnsi="Times New Roman"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ascii="Times New Roman" w:hAnsi="Times New Roman" w:cs="OpenSymbol"/>
    </w:rPr>
  </w:style>
  <w:style w:type="character" w:styleId="ListLabel147">
    <w:name w:val="ListLabel 147"/>
    <w:qFormat/>
    <w:rPr>
      <w:rFonts w:ascii="Times New Roman" w:hAnsi="Times New Roman"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ascii="Times New Roman" w:hAnsi="Times New Roman" w:cs="OpenSymbol"/>
    </w:rPr>
  </w:style>
  <w:style w:type="character" w:styleId="ListLabel156">
    <w:name w:val="ListLabel 156"/>
    <w:qFormat/>
    <w:rPr>
      <w:rFonts w:ascii="Times New Roman" w:hAnsi="Times New Roman"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ascii="Times New Roman" w:hAnsi="Times New Roman" w:cs="OpenSymbol"/>
    </w:rPr>
  </w:style>
  <w:style w:type="character" w:styleId="ListLabel165">
    <w:name w:val="ListLabel 165"/>
    <w:qFormat/>
    <w:rPr>
      <w:rFonts w:ascii="Times New Roman" w:hAnsi="Times New Roman" w:cs="OpenSymbol"/>
    </w:rPr>
  </w:style>
  <w:style w:type="character" w:styleId="ListLabel166">
    <w:name w:val="ListLabel 166"/>
    <w:qFormat/>
    <w:rPr>
      <w:rFonts w:ascii="Times New Roman" w:hAnsi="Times New Roman" w:cs="OpenSymbol"/>
    </w:rPr>
  </w:style>
  <w:style w:type="character" w:styleId="ListLabel167">
    <w:name w:val="ListLabel 167"/>
    <w:qFormat/>
    <w:rPr>
      <w:rFonts w:ascii="Times New Roman" w:hAnsi="Times New Roman"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rPr>
  </w:style>
  <w:style w:type="character" w:styleId="ListLabel173">
    <w:name w:val="ListLabel 173"/>
    <w:qFormat/>
    <w:rPr>
      <w:rFonts w:ascii="Times New Roman" w:hAnsi="Times New Roman" w:cs="OpenSymbol"/>
    </w:rPr>
  </w:style>
  <w:style w:type="character" w:styleId="ListLabel174">
    <w:name w:val="ListLabel 174"/>
    <w:qFormat/>
    <w:rPr>
      <w:rFonts w:ascii="Times New Roman" w:hAnsi="Times New Roman"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ascii="Times New Roman" w:hAnsi="Times New Roman" w:cs="OpenSymbol"/>
    </w:rPr>
  </w:style>
  <w:style w:type="character" w:styleId="ListLabel183">
    <w:name w:val="ListLabel 183"/>
    <w:qFormat/>
    <w:rPr>
      <w:rFonts w:ascii="Times New Roman" w:hAnsi="Times New Roman"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Times New Roman" w:hAnsi="Times New Roman" w:cs="OpenSymbol"/>
    </w:rPr>
  </w:style>
  <w:style w:type="character" w:styleId="ListLabel192">
    <w:name w:val="ListLabel 192"/>
    <w:qFormat/>
    <w:rPr>
      <w:rFonts w:ascii="Times New Roman" w:hAnsi="Times New Roman"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ascii="Times New Roman" w:hAnsi="Times New Roman" w:cs="OpenSymbol"/>
    </w:rPr>
  </w:style>
  <w:style w:type="character" w:styleId="ListLabel201">
    <w:name w:val="ListLabel 201"/>
    <w:qFormat/>
    <w:rPr>
      <w:rFonts w:ascii="Times New Roman" w:hAnsi="Times New Roman" w:cs="OpenSymbol"/>
    </w:rPr>
  </w:style>
  <w:style w:type="character" w:styleId="ListLabel202">
    <w:name w:val="ListLabel 202"/>
    <w:qFormat/>
    <w:rPr>
      <w:rFonts w:ascii="Times New Roman" w:hAnsi="Times New Roman" w:cs="OpenSymbol"/>
    </w:rPr>
  </w:style>
  <w:style w:type="character" w:styleId="ListLabel203">
    <w:name w:val="ListLabel 203"/>
    <w:qFormat/>
    <w:rPr>
      <w:rFonts w:ascii="Times New Roman" w:hAnsi="Times New Roman"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Times New Roman" w:hAnsi="Times New Roman" w:cs="OpenSymbol"/>
    </w:rPr>
  </w:style>
  <w:style w:type="character" w:styleId="ListLabel209">
    <w:name w:val="ListLabel 209"/>
    <w:qFormat/>
    <w:rPr>
      <w:rFonts w:ascii="Times New Roman" w:hAnsi="Times New Roman" w:cs="OpenSymbol"/>
    </w:rPr>
  </w:style>
  <w:style w:type="character" w:styleId="ListLabel210">
    <w:name w:val="ListLabel 210"/>
    <w:qFormat/>
    <w:rPr>
      <w:rFonts w:ascii="Times New Roman" w:hAnsi="Times New Roman"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ascii="Times New Roman" w:hAnsi="Times New Roman" w:cs="OpenSymbol"/>
    </w:rPr>
  </w:style>
  <w:style w:type="character" w:styleId="ListLabel219">
    <w:name w:val="ListLabel 219"/>
    <w:qFormat/>
    <w:rPr>
      <w:rFonts w:ascii="Times New Roman" w:hAnsi="Times New Roman"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ascii="Times New Roman" w:hAnsi="Times New Roman" w:cs="OpenSymbol"/>
    </w:rPr>
  </w:style>
  <w:style w:type="character" w:styleId="ListLabel228">
    <w:name w:val="ListLabel 228"/>
    <w:qFormat/>
    <w:rPr>
      <w:rFonts w:ascii="Times New Roman" w:hAnsi="Times New Roman"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ascii="Times New Roman" w:hAnsi="Times New Roman" w:cs="OpenSymbol"/>
      <w:b/>
    </w:rPr>
  </w:style>
  <w:style w:type="character" w:styleId="ListLabel238">
    <w:name w:val="ListLabel 238"/>
    <w:qFormat/>
    <w:rPr>
      <w:rFonts w:ascii="Times New Roman" w:hAnsi="Times New Roman" w:cs="OpenSymbol"/>
    </w:rPr>
  </w:style>
  <w:style w:type="character" w:styleId="ListLabel239">
    <w:name w:val="ListLabel 239"/>
    <w:qFormat/>
    <w:rPr>
      <w:rFonts w:ascii="Times New Roman" w:hAnsi="Times New Roman" w:cs="OpenSymbol"/>
      <w:sz w:val="24"/>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rPr>
  </w:style>
  <w:style w:type="character" w:styleId="ListLabel254">
    <w:name w:val="ListLabel 254"/>
    <w:qFormat/>
    <w:rPr>
      <w:rFonts w:ascii="Times New Roman" w:hAnsi="Times New Roman" w:cs="OpenSymbol"/>
    </w:rPr>
  </w:style>
  <w:style w:type="character" w:styleId="ListLabel255">
    <w:name w:val="ListLabel 255"/>
    <w:qFormat/>
    <w:rPr>
      <w:rFonts w:ascii="Times New Roman" w:hAnsi="Times New Roman"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ascii="Times New Roman" w:hAnsi="Times New Roman" w:cs="OpenSymbol"/>
    </w:rPr>
  </w:style>
  <w:style w:type="character" w:styleId="ListLabel264">
    <w:name w:val="ListLabel 264"/>
    <w:qFormat/>
    <w:rPr>
      <w:rFonts w:ascii="Times New Roman" w:hAnsi="Times New Roman"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ascii="Times New Roman" w:hAnsi="Times New Roman" w:cs="OpenSymbol"/>
    </w:rPr>
  </w:style>
  <w:style w:type="character" w:styleId="ListLabel273">
    <w:name w:val="ListLabel 273"/>
    <w:qFormat/>
    <w:rPr>
      <w:rFonts w:ascii="Times New Roman" w:hAnsi="Times New Roman"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ascii="Times New Roman" w:hAnsi="Times New Roman" w:cs="OpenSymbol"/>
      <w:b/>
    </w:rPr>
  </w:style>
  <w:style w:type="character" w:styleId="ListLabel283">
    <w:name w:val="ListLabel 283"/>
    <w:qFormat/>
    <w:rPr>
      <w:rFonts w:ascii="Times New Roman" w:hAnsi="Times New Roman" w:cs="OpenSymbol"/>
      <w:b w:val="false"/>
    </w:rPr>
  </w:style>
  <w:style w:type="character" w:styleId="ListLabel284">
    <w:name w:val="ListLabel 284"/>
    <w:qFormat/>
    <w:rPr>
      <w:rFonts w:cs="OpenSymbol"/>
      <w:b w:val="false"/>
      <w:sz w:val="24"/>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Times New Roman" w:hAnsi="Times New Roman" w:cs="OpenSymbol"/>
    </w:rPr>
  </w:style>
  <w:style w:type="character" w:styleId="ListLabel299">
    <w:name w:val="ListLabel 299"/>
    <w:qFormat/>
    <w:rPr>
      <w:rFonts w:ascii="Times New Roman" w:hAnsi="Times New Roman" w:cs="OpenSymbol"/>
    </w:rPr>
  </w:style>
  <w:style w:type="character" w:styleId="ListLabel300">
    <w:name w:val="ListLabel 300"/>
    <w:qFormat/>
    <w:rPr>
      <w:rFonts w:ascii="Times New Roman" w:hAnsi="Times New Roman"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ascii="Times New Roman" w:hAnsi="Times New Roman" w:cs="OpenSymbol"/>
    </w:rPr>
  </w:style>
  <w:style w:type="character" w:styleId="ListLabel309">
    <w:name w:val="ListLabel 309"/>
    <w:qFormat/>
    <w:rPr>
      <w:rFonts w:ascii="Times New Roman" w:hAnsi="Times New Roman"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ascii="Times New Roman" w:hAnsi="Times New Roman" w:cs="OpenSymbol"/>
    </w:rPr>
  </w:style>
  <w:style w:type="character" w:styleId="ListLabel318">
    <w:name w:val="ListLabel 318"/>
    <w:qFormat/>
    <w:rPr>
      <w:rFonts w:ascii="Times New Roman" w:hAnsi="Times New Roman"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ascii="Times New Roman" w:hAnsi="Times New Roman" w:cs="OpenSymbol"/>
      <w:b/>
    </w:rPr>
  </w:style>
  <w:style w:type="character" w:styleId="ListLabel328">
    <w:name w:val="ListLabel 328"/>
    <w:qFormat/>
    <w:rPr>
      <w:rFonts w:ascii="Times New Roman" w:hAnsi="Times New Roman" w:cs="OpenSymbol"/>
      <w:b w:val="false"/>
    </w:rPr>
  </w:style>
  <w:style w:type="character" w:styleId="ListLabel329">
    <w:name w:val="ListLabel 329"/>
    <w:qFormat/>
    <w:rPr>
      <w:rFonts w:ascii="Times New Roman" w:hAnsi="Times New Roman" w:cs="OpenSymbol"/>
      <w:b w:val="false"/>
      <w:sz w:val="24"/>
    </w:rPr>
  </w:style>
  <w:style w:type="character" w:styleId="ListLabel330">
    <w:name w:val="ListLabel 330"/>
    <w:qFormat/>
    <w:rPr>
      <w:rFonts w:ascii="Times New Roman" w:hAnsi="Times New Roman"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Times New Roman" w:hAnsi="Times New Roman" w:cs="OpenSymbol"/>
    </w:rPr>
  </w:style>
  <w:style w:type="character" w:styleId="ListLabel344">
    <w:name w:val="ListLabel 344"/>
    <w:qFormat/>
    <w:rPr>
      <w:rFonts w:ascii="Times New Roman" w:hAnsi="Times New Roman" w:cs="OpenSymbol"/>
    </w:rPr>
  </w:style>
  <w:style w:type="character" w:styleId="ListLabel345">
    <w:name w:val="ListLabel 345"/>
    <w:qFormat/>
    <w:rPr>
      <w:rFonts w:ascii="Times New Roman" w:hAnsi="Times New Roman"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ascii="Times New Roman" w:hAnsi="Times New Roman" w:cs="OpenSymbol"/>
    </w:rPr>
  </w:style>
  <w:style w:type="character" w:styleId="ListLabel354">
    <w:name w:val="ListLabel 354"/>
    <w:qFormat/>
    <w:rPr>
      <w:rFonts w:ascii="Times New Roman" w:hAnsi="Times New Roman"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ascii="Times New Roman" w:hAnsi="Times New Roman" w:cs="OpenSymbol"/>
    </w:rPr>
  </w:style>
  <w:style w:type="character" w:styleId="ListLabel363">
    <w:name w:val="ListLabel 363"/>
    <w:qFormat/>
    <w:rPr>
      <w:rFonts w:ascii="Times New Roman" w:hAnsi="Times New Roman"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ascii="Times New Roman" w:hAnsi="Times New Roman" w:cs="OpenSymbol"/>
      <w:b/>
    </w:rPr>
  </w:style>
  <w:style w:type="character" w:styleId="ListLabel373">
    <w:name w:val="ListLabel 373"/>
    <w:qFormat/>
    <w:rPr>
      <w:rFonts w:ascii="Times New Roman" w:hAnsi="Times New Roman" w:cs="OpenSymbol"/>
      <w:b w:val="false"/>
    </w:rPr>
  </w:style>
  <w:style w:type="character" w:styleId="ListLabel374">
    <w:name w:val="ListLabel 374"/>
    <w:qFormat/>
    <w:rPr>
      <w:rFonts w:ascii="Times New Roman" w:hAnsi="Times New Roman" w:cs="OpenSymbol"/>
      <w:b w:val="false"/>
      <w:sz w:val="24"/>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Times New Roman" w:hAnsi="Times New Roman" w:cs="OpenSymbol"/>
    </w:rPr>
  </w:style>
  <w:style w:type="character" w:styleId="ListLabel389">
    <w:name w:val="ListLabel 389"/>
    <w:qFormat/>
    <w:rPr>
      <w:rFonts w:ascii="Times New Roman" w:hAnsi="Times New Roman" w:cs="OpenSymbol"/>
    </w:rPr>
  </w:style>
  <w:style w:type="character" w:styleId="ListLabel390">
    <w:name w:val="ListLabel 390"/>
    <w:qFormat/>
    <w:rPr>
      <w:rFonts w:ascii="Times New Roman" w:hAnsi="Times New Roman"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ascii="Times New Roman" w:hAnsi="Times New Roman" w:cs="OpenSymbol"/>
    </w:rPr>
  </w:style>
  <w:style w:type="character" w:styleId="ListLabel399">
    <w:name w:val="ListLabel 399"/>
    <w:qFormat/>
    <w:rPr>
      <w:rFonts w:ascii="Times New Roman" w:hAnsi="Times New Roman" w:cs="OpenSymbol"/>
      <w:b/>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ascii="Times New Roman" w:hAnsi="Times New Roman" w:cs="OpenSymbol"/>
    </w:rPr>
  </w:style>
  <w:style w:type="character" w:styleId="ListLabel408">
    <w:name w:val="ListLabel 408"/>
    <w:qFormat/>
    <w:rPr>
      <w:rFonts w:ascii="Times New Roman" w:hAnsi="Times New Roman"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ascii="Times New Roman" w:hAnsi="Times New Roman" w:cs="OpenSymbol"/>
      <w:b/>
    </w:rPr>
  </w:style>
  <w:style w:type="character" w:styleId="ListLabel418">
    <w:name w:val="ListLabel 418"/>
    <w:qFormat/>
    <w:rPr>
      <w:rFonts w:ascii="Times New Roman" w:hAnsi="Times New Roman" w:cs="OpenSymbol"/>
      <w:b w:val="false"/>
    </w:rPr>
  </w:style>
  <w:style w:type="character" w:styleId="ListLabel419">
    <w:name w:val="ListLabel 419"/>
    <w:qFormat/>
    <w:rPr>
      <w:rFonts w:ascii="Times New Roman" w:hAnsi="Times New Roman" w:cs="OpenSymbol"/>
      <w:b w:val="false"/>
      <w:sz w:val="24"/>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Times New Roman" w:hAnsi="Times New Roman" w:cs="OpenSymbol"/>
    </w:rPr>
  </w:style>
  <w:style w:type="character" w:styleId="ListLabel434">
    <w:name w:val="ListLabel 434"/>
    <w:qFormat/>
    <w:rPr>
      <w:rFonts w:ascii="Times New Roman" w:hAnsi="Times New Roman" w:cs="OpenSymbol"/>
    </w:rPr>
  </w:style>
  <w:style w:type="character" w:styleId="ListLabel435">
    <w:name w:val="ListLabel 435"/>
    <w:qFormat/>
    <w:rPr>
      <w:rFonts w:ascii="Times New Roman" w:hAnsi="Times New Roman"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ascii="Times New Roman" w:hAnsi="Times New Roman" w:cs="OpenSymbol"/>
    </w:rPr>
  </w:style>
  <w:style w:type="character" w:styleId="ListLabel453">
    <w:name w:val="ListLabel 453"/>
    <w:qFormat/>
    <w:rPr>
      <w:rFonts w:ascii="Times New Roman" w:hAnsi="Times New Roman" w:cs="OpenSymbol"/>
      <w:b/>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ascii="Times New Roman" w:hAnsi="Times New Roman" w:cs="OpenSymbol"/>
    </w:rPr>
  </w:style>
  <w:style w:type="character" w:styleId="ListLabel462">
    <w:name w:val="ListLabel 462"/>
    <w:qFormat/>
    <w:rPr>
      <w:rFonts w:ascii="Times New Roman" w:hAnsi="Times New Roman"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ascii="Times New Roman" w:hAnsi="Times New Roman" w:cs="OpenSymbol"/>
      <w:b/>
    </w:rPr>
  </w:style>
  <w:style w:type="character" w:styleId="ListLabel472">
    <w:name w:val="ListLabel 472"/>
    <w:qFormat/>
    <w:rPr>
      <w:rFonts w:ascii="Times New Roman" w:hAnsi="Times New Roman" w:cs="OpenSymbol"/>
      <w:b w:val="false"/>
    </w:rPr>
  </w:style>
  <w:style w:type="character" w:styleId="ListLabel473">
    <w:name w:val="ListLabel 473"/>
    <w:qFormat/>
    <w:rPr>
      <w:rFonts w:ascii="Times New Roman" w:hAnsi="Times New Roman" w:cs="OpenSymbol"/>
      <w:b w:val="false"/>
      <w:sz w:val="24"/>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Times New Roman" w:hAnsi="Times New Roman" w:cs="OpenSymbol"/>
    </w:rPr>
  </w:style>
  <w:style w:type="character" w:styleId="ListLabel488">
    <w:name w:val="ListLabel 488"/>
    <w:qFormat/>
    <w:rPr>
      <w:rFonts w:ascii="Times New Roman" w:hAnsi="Times New Roman" w:cs="OpenSymbol"/>
    </w:rPr>
  </w:style>
  <w:style w:type="character" w:styleId="ListLabel489">
    <w:name w:val="ListLabel 489"/>
    <w:qFormat/>
    <w:rPr>
      <w:rFonts w:ascii="Times New Roman" w:hAnsi="Times New Roman"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2652</TotalTime>
  <Application>LibreOffice/5.4.5.1$MacOSX_X86_64 LibreOffice_project/79c9829dd5d8054ec39a82dc51cd9eff340dbee8</Application>
  <Pages>9</Pages>
  <Words>3931</Words>
  <Characters>22142</Characters>
  <CharactersWithSpaces>25779</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2020-05-25T14:14:39Z</dcterms:created>
  <dc:creator/>
  <dc:description/>
  <dc:language>en-US</dc:language>
  <cp:lastModifiedBy/>
  <dcterms:modified xsi:type="dcterms:W3CDTF">2020-06-11T12:18:34Z</dcterms:modified>
  <cp:revision>71</cp:revision>
  <dc:subject/>
  <dc:title/>
</cp:coreProperties>
</file>