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Initial Codes for SES Quotes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Three dimensions: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How SES theoretically defined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provide definition</w:t>
      </w:r>
    </w:p>
    <w:p>
      <w:pPr>
        <w:pStyle w:val="Normal"/>
        <w:numPr>
          <w:ilvl w:val="2"/>
          <w:numId w:val="2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How SES operationalized</w:t>
      </w:r>
    </w:p>
    <w:p>
      <w:pPr>
        <w:pStyle w:val="Normal"/>
        <w:numPr>
          <w:ilvl w:val="1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Fonts w:ascii="Times New Roman" w:hAnsi="Times New Roman"/>
          <w:b/>
          <w:bCs/>
          <w:u w:val="none"/>
        </w:rPr>
        <w:t>Note</w:t>
      </w:r>
      <w:r>
        <w:rPr>
          <w:rFonts w:ascii="Times New Roman" w:hAnsi="Times New Roman"/>
          <w:u w:val="none"/>
        </w:rPr>
        <w:t xml:space="preserve">: These refer to how </w:t>
      </w:r>
      <w:r>
        <w:rPr>
          <w:rFonts w:ascii="Times New Roman" w:hAnsi="Times New Roman"/>
          <w:i/>
          <w:iCs/>
          <w:u w:val="none"/>
        </w:rPr>
        <w:t>SES</w:t>
      </w:r>
      <w:r>
        <w:rPr>
          <w:rFonts w:ascii="Times New Roman" w:hAnsi="Times New Roman"/>
          <w:u w:val="none"/>
        </w:rPr>
        <w:t xml:space="preserve"> was operationalized, and NOT to how indicators of SES were (e.g., using PCA or a sum score for family assets does </w:t>
      </w:r>
      <w:r>
        <w:rPr>
          <w:rFonts w:ascii="Times New Roman" w:hAnsi="Times New Roman"/>
          <w:i/>
          <w:iCs/>
          <w:u w:val="none"/>
        </w:rPr>
        <w:t>not</w:t>
      </w:r>
      <w:r>
        <w:rPr>
          <w:rFonts w:ascii="Times New Roman" w:hAnsi="Times New Roman"/>
          <w:u w:val="none"/>
        </w:rPr>
        <w:t xml:space="preserve"> count as dimension reduction, but using PCA or a sum score for family assets and income does count as dimension reduction)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Single indicator” = used only one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Multiple single indicators” = used more than one single indicator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Dimension reduction” = used process to reduce multiple single indicators into fewer variables (e.g., from K=3 to K=2 or 1, where K is the number of variables referred to as SES)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“Formative” = used a dimension reduction technique wherein the indicators define the latent variable (e.g., PCA, WLS)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PCA” = principal components analysis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WLS” = weighted least squares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“Reflective: = used a dimension reduction technique wherein the latent variable defines (gives rise to) the indicators (e.g., CFA, EFA)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CFA” = confirmatory factor analysis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EFA” = exploratory factor analysis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+ “Other composite” = used a modeling strategy that doesn’t fall neatly into either of the above (e.g., equal weights could be either reflective or formative, Hollingshead, Duncan SEI)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 xml:space="preserve">Standardized mean” = </w:t>
      </w:r>
      <w:bookmarkStart w:id="0" w:name="__DdeLink__9208_101083012"/>
      <w:bookmarkEnd w:id="0"/>
      <w:r>
        <w:rPr>
          <w:rFonts w:ascii="Times New Roman" w:hAnsi="Times New Roman"/>
          <w:u w:val="none"/>
        </w:rPr>
        <w:t>all indicators standardized and average of the standardized indicators used as measure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Quintiles” = split continuous composite into five groups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Trichotomized” = split continuous composite into three groups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Normalized mean” = all indicators changed to same scale and average of normalized indicators used as measure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Logarithm” = logarithm of indicators used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Sum” = sum of indicators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Mean” = mean of indicators</w:t>
      </w:r>
    </w:p>
    <w:p>
      <w:pPr>
        <w:pStyle w:val="Normal"/>
        <w:numPr>
          <w:ilvl w:val="4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Standardized sum” = all indicators standardized and sum of the standardized indicators used as measure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2"/>
          <w:numId w:val="3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Modifications to indicators:</w:t>
      </w:r>
    </w:p>
    <w:p>
      <w:pPr>
        <w:pStyle w:val="Normal"/>
        <w:numPr>
          <w:ilvl w:val="3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Dichotomized” = made an otherwise non-binary indicator binary</w:t>
      </w:r>
    </w:p>
    <w:p>
      <w:pPr>
        <w:pStyle w:val="Normal"/>
        <w:numPr>
          <w:ilvl w:val="2"/>
          <w:numId w:val="3"/>
        </w:numPr>
        <w:jc w:val="left"/>
        <w:rPr/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Mixed” = mix of single indicator approaches and dimension reduction approaches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 </w:t>
      </w:r>
      <w:r>
        <w:rPr>
          <w:rFonts w:ascii="Times New Roman" w:hAnsi="Times New Roman"/>
          <w:u w:val="none"/>
        </w:rPr>
        <w:t>Reason for operationalization</w:t>
      </w:r>
    </w:p>
    <w:p>
      <w:pPr>
        <w:pStyle w:val="Normal"/>
        <w:numPr>
          <w:ilvl w:val="1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Categories: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None given” = didn’t say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Did not study SES” = particular study didn’t study SES</w:t>
      </w:r>
    </w:p>
    <w:p>
      <w:pPr>
        <w:pStyle w:val="Normal"/>
        <w:numPr>
          <w:ilvl w:val="2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Remainder will be inferred from the data (no categories to start with)</w:t>
      </w:r>
    </w:p>
    <w:p>
      <w:pPr>
        <w:pStyle w:val="Normal"/>
        <w:numPr>
          <w:ilvl w:val="3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But some ideas from Kachmar et al. (2019):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Evidence-based” = using prior knowledge of relation between particular operationalization and particular outcome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Prior work” = prior research used same operationalization, but no stated relevance of operationalization to current study</w:t>
      </w:r>
    </w:p>
    <w:p>
      <w:pPr>
        <w:pStyle w:val="Normal"/>
        <w:numPr>
          <w:ilvl w:val="4"/>
          <w:numId w:val="4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“</w:t>
      </w:r>
      <w:r>
        <w:rPr>
          <w:rFonts w:ascii="Times New Roman" w:hAnsi="Times New Roman"/>
          <w:u w:val="none"/>
        </w:rPr>
        <w:t>Undetailed reason” = stated a rationale without justifying details or criterion [I don’t know what this means]</w:t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Protocol for writing codes: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No abbreviations or conjunctions other than SES (i.e., write “did not”, not “don’t”)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Capitalize the first letter of each code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Use spaces to separate words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Elaborating operationalizations: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In addition to recording the type of operationalization (e.g., “Multiple single indicators”), need to record content of operationalization (e.g., income, education)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Separate type from content using an underscore (i.e., “Single indicator_income”)</w:t>
      </w:r>
    </w:p>
    <w:p>
      <w:pPr>
        <w:pStyle w:val="Normal"/>
        <w:numPr>
          <w:ilvl w:val="1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If writing a list of content, separate elements of list using hyphens (i.e., “Multiple single indicators_income-education-occupational prestige”)</w:t>
      </w:r>
    </w:p>
    <w:p>
      <w:pPr>
        <w:pStyle w:val="Normal"/>
        <w:numPr>
          <w:ilvl w:val="2"/>
          <w:numId w:val="5"/>
        </w:numPr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Within an element of a list, separate words using spaces (e.g., “occupational prestige”, not “occupationalPrestige” or something else)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Modifications are listed in brackets ([]) after the indicator to which they apply and separated by a space from the indicator (e.g., “income [dichotomized]”)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rFonts w:ascii="Times New Roman" w:hAnsi="Times New Roman"/>
          <w:u w:val="none"/>
        </w:rPr>
        <w:t>Elaborating “Dimension reduction”: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Place type of dimension reduction in brackets ([]) next to after “Dimension reduction” (e.g., “Dimension reduction [Reflective]_income-education”)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Specific method of dimension reduction should follow general type, separated by a period (e.g., “Dimension reduction [Reflective.CFA]_income-education-employment”)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rFonts w:ascii="Times New Roman" w:hAnsi="Times New Roman"/>
          <w:u w:val="none"/>
        </w:rPr>
        <w:t>Elaborating “Other composite”:</w:t>
      </w:r>
    </w:p>
    <w:p>
      <w:pPr>
        <w:pStyle w:val="Normal"/>
        <w:numPr>
          <w:ilvl w:val="3"/>
          <w:numId w:val="5"/>
        </w:numPr>
        <w:jc w:val="left"/>
        <w:rPr/>
      </w:pPr>
      <w:r>
        <w:rPr>
          <w:rFonts w:ascii="Times New Roman" w:hAnsi="Times New Roman"/>
          <w:u w:val="none"/>
        </w:rPr>
        <w:t>For non-standard approaches (e.g., not using name-brand indices like Hollingshead or Duncan), indicate the modeling strategy used after “Other composite”, separated by a period (e.g., “Dimension reduction [Other composite.mean]_income-education”)</w:t>
      </w:r>
    </w:p>
    <w:p>
      <w:pPr>
        <w:pStyle w:val="Normal"/>
        <w:numPr>
          <w:ilvl w:val="3"/>
          <w:numId w:val="5"/>
        </w:numPr>
        <w:jc w:val="left"/>
        <w:rPr/>
      </w:pPr>
      <w:r>
        <w:rPr>
          <w:rFonts w:ascii="Times New Roman" w:hAnsi="Times New Roman"/>
          <w:u w:val="none"/>
        </w:rPr>
        <w:t>Each period represents a separate elaboration approach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cs="OpenSymbol"/>
    </w:rPr>
  </w:style>
  <w:style w:type="character" w:styleId="ListLabel12">
    <w:name w:val="ListLabel 12"/>
    <w:qFormat/>
    <w:rPr>
      <w:rFonts w:ascii="Times New Roman" w:hAnsi="Times New Roman" w:cs="OpenSymbol"/>
    </w:rPr>
  </w:style>
  <w:style w:type="character" w:styleId="ListLabel13">
    <w:name w:val="ListLabel 13"/>
    <w:qFormat/>
    <w:rPr>
      <w:rFonts w:ascii="Times New Roman" w:hAnsi="Times New Roman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 w:cs="OpenSymbol"/>
    </w:rPr>
  </w:style>
  <w:style w:type="character" w:styleId="ListLabel21">
    <w:name w:val="ListLabel 21"/>
    <w:qFormat/>
    <w:rPr>
      <w:rFonts w:ascii="Times New Roman" w:hAnsi="Times New Roman" w:cs="OpenSymbol"/>
    </w:rPr>
  </w:style>
  <w:style w:type="character" w:styleId="ListLabel22">
    <w:name w:val="ListLabel 22"/>
    <w:qFormat/>
    <w:rPr>
      <w:rFonts w:ascii="Times New Roman" w:hAnsi="Times New Roman" w:cs="OpenSymbol"/>
    </w:rPr>
  </w:style>
  <w:style w:type="character" w:styleId="ListLabel23">
    <w:name w:val="ListLabel 23"/>
    <w:qFormat/>
    <w:rPr>
      <w:rFonts w:ascii="Times New Roman" w:hAnsi="Times New Roman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ascii="Times New Roman" w:hAnsi="Times New Roman" w:cs="OpenSymbol"/>
    </w:rPr>
  </w:style>
  <w:style w:type="character" w:styleId="ListLabel30">
    <w:name w:val="ListLabel 30"/>
    <w:qFormat/>
    <w:rPr>
      <w:rFonts w:ascii="Times New Roman" w:hAnsi="Times New Roman"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</w:rPr>
  </w:style>
  <w:style w:type="character" w:styleId="ListLabel39">
    <w:name w:val="ListLabel 39"/>
    <w:qFormat/>
    <w:rPr>
      <w:rFonts w:ascii="Times New Roman" w:hAnsi="Times New Roman"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</w:rPr>
  </w:style>
  <w:style w:type="character" w:styleId="ListLabel48">
    <w:name w:val="ListLabel 48"/>
    <w:qFormat/>
    <w:rPr>
      <w:rFonts w:ascii="Times New Roman" w:hAnsi="Times New Roman"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</w:rPr>
  </w:style>
  <w:style w:type="character" w:styleId="ListLabel57">
    <w:name w:val="ListLabel 57"/>
    <w:qFormat/>
    <w:rPr>
      <w:rFonts w:ascii="Times New Roman" w:hAnsi="Times New Roman" w:cs="OpenSymbol"/>
    </w:rPr>
  </w:style>
  <w:style w:type="character" w:styleId="ListLabel58">
    <w:name w:val="ListLabel 58"/>
    <w:qFormat/>
    <w:rPr>
      <w:rFonts w:ascii="Times New Roman" w:hAnsi="Times New Roman" w:cs="OpenSymbol"/>
    </w:rPr>
  </w:style>
  <w:style w:type="character" w:styleId="ListLabel59">
    <w:name w:val="ListLabel 59"/>
    <w:qFormat/>
    <w:rPr>
      <w:rFonts w:ascii="Times New Roman" w:hAnsi="Times New Roman"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</w:rPr>
  </w:style>
  <w:style w:type="character" w:styleId="ListLabel65">
    <w:name w:val="ListLabel 65"/>
    <w:qFormat/>
    <w:rPr>
      <w:rFonts w:ascii="Times New Roman" w:hAnsi="Times New Roman" w:cs="OpenSymbol"/>
    </w:rPr>
  </w:style>
  <w:style w:type="character" w:styleId="ListLabel66">
    <w:name w:val="ListLabel 66"/>
    <w:qFormat/>
    <w:rPr>
      <w:rFonts w:ascii="Times New Roman" w:hAnsi="Times New Roman"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</w:rPr>
  </w:style>
  <w:style w:type="character" w:styleId="ListLabel75">
    <w:name w:val="ListLabel 75"/>
    <w:qFormat/>
    <w:rPr>
      <w:rFonts w:ascii="Times New Roman" w:hAnsi="Times New Roman"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</w:rPr>
  </w:style>
  <w:style w:type="character" w:styleId="ListLabel84">
    <w:name w:val="ListLabel 84"/>
    <w:qFormat/>
    <w:rPr>
      <w:rFonts w:ascii="Times New Roman" w:hAnsi="Times New Roman"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</w:rPr>
  </w:style>
  <w:style w:type="character" w:styleId="ListLabel93">
    <w:name w:val="ListLabel 93"/>
    <w:qFormat/>
    <w:rPr>
      <w:rFonts w:ascii="Times New Roman" w:hAnsi="Times New Roman" w:cs="OpenSymbol"/>
    </w:rPr>
  </w:style>
  <w:style w:type="character" w:styleId="ListLabel94">
    <w:name w:val="ListLabel 94"/>
    <w:qFormat/>
    <w:rPr>
      <w:rFonts w:ascii="Times New Roman" w:hAnsi="Times New Roman" w:cs="OpenSymbol"/>
    </w:rPr>
  </w:style>
  <w:style w:type="character" w:styleId="ListLabel95">
    <w:name w:val="ListLabel 95"/>
    <w:qFormat/>
    <w:rPr>
      <w:rFonts w:ascii="Times New Roman" w:hAnsi="Times New Roman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</w:rPr>
  </w:style>
  <w:style w:type="character" w:styleId="ListLabel101">
    <w:name w:val="ListLabel 101"/>
    <w:qFormat/>
    <w:rPr>
      <w:rFonts w:ascii="Times New Roman" w:hAnsi="Times New Roman" w:cs="OpenSymbol"/>
    </w:rPr>
  </w:style>
  <w:style w:type="character" w:styleId="ListLabel102">
    <w:name w:val="ListLabel 102"/>
    <w:qFormat/>
    <w:rPr>
      <w:rFonts w:ascii="Times New Roman" w:hAnsi="Times New Roman"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422</TotalTime>
  <Application>LibreOffice/5.4.5.1$MacOSX_X86_64 LibreOffice_project/79c9829dd5d8054ec39a82dc51cd9eff340dbee8</Application>
  <Pages>2</Pages>
  <Words>685</Words>
  <Characters>3844</Characters>
  <CharactersWithSpaces>4418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2020-05-25T14:14:39Z</dcterms:created>
  <dc:creator/>
  <dc:description/>
  <dc:language>en-US</dc:language>
  <cp:lastModifiedBy/>
  <dcterms:modified xsi:type="dcterms:W3CDTF">2020-05-27T14:13:07Z</dcterms:modified>
  <cp:revision>15</cp:revision>
  <dc:subject/>
  <dc:title/>
</cp:coreProperties>
</file>