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u w:val="single"/>
        </w:rPr>
      </w:pPr>
      <w:r>
        <w:rPr>
          <w:rFonts w:ascii="Times New Roman" w:hAnsi="Times New Roman"/>
          <w:u w:val="single"/>
        </w:rPr>
        <w:t>Initial Codes for SES Quotes</w:t>
      </w:r>
    </w:p>
    <w:p>
      <w:pPr>
        <w:pStyle w:val="Normal"/>
        <w:jc w:val="left"/>
        <w:rPr>
          <w:rFonts w:ascii="Times New Roman" w:hAnsi="Times New Roman"/>
          <w:u w:val="none"/>
        </w:rPr>
      </w:pPr>
      <w:r>
        <w:rPr>
          <w:rFonts w:ascii="Times New Roman" w:hAnsi="Times New Roman"/>
          <w:u w:val="none"/>
        </w:rPr>
        <w:t>Three dimensions:</w:t>
      </w:r>
    </w:p>
    <w:p>
      <w:pPr>
        <w:pStyle w:val="Normal"/>
        <w:numPr>
          <w:ilvl w:val="0"/>
          <w:numId w:val="1"/>
        </w:numPr>
        <w:jc w:val="left"/>
        <w:rPr>
          <w:rFonts w:ascii="Times New Roman" w:hAnsi="Times New Roman"/>
          <w:u w:val="none"/>
        </w:rPr>
      </w:pPr>
      <w:r>
        <w:rPr>
          <w:rFonts w:ascii="Times New Roman" w:hAnsi="Times New Roman"/>
          <w:u w:val="none"/>
        </w:rPr>
        <w:t>How SES theoretically defined</w:t>
      </w:r>
    </w:p>
    <w:p>
      <w:pPr>
        <w:pStyle w:val="Normal"/>
        <w:numPr>
          <w:ilvl w:val="1"/>
          <w:numId w:val="2"/>
        </w:numPr>
        <w:jc w:val="left"/>
        <w:rPr>
          <w:rFonts w:ascii="Times New Roman" w:hAnsi="Times New Roman"/>
          <w:u w:val="none"/>
        </w:rPr>
      </w:pPr>
      <w:r>
        <w:rPr>
          <w:rFonts w:ascii="Times New Roman" w:hAnsi="Times New Roman"/>
          <w:u w:val="none"/>
        </w:rPr>
        <w:t>Categories:</w:t>
      </w:r>
    </w:p>
    <w:p>
      <w:pPr>
        <w:pStyle w:val="Normal"/>
        <w:numPr>
          <w:ilvl w:val="2"/>
          <w:numId w:val="2"/>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provide definition</w:t>
      </w:r>
    </w:p>
    <w:p>
      <w:pPr>
        <w:pStyle w:val="Normal"/>
        <w:numPr>
          <w:ilvl w:val="2"/>
          <w:numId w:val="2"/>
        </w:numPr>
        <w:jc w:val="left"/>
        <w:rPr/>
      </w:pPr>
      <w:r>
        <w:rPr>
          <w:rFonts w:ascii="Times New Roman" w:hAnsi="Times New Roman"/>
          <w:u w:val="none"/>
        </w:rPr>
        <w:t>Remainder will be inferred from the data (no categories to start with)</w:t>
      </w:r>
    </w:p>
    <w:p>
      <w:pPr>
        <w:pStyle w:val="Normal"/>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How SES operationalized</w:t>
      </w:r>
    </w:p>
    <w:p>
      <w:pPr>
        <w:pStyle w:val="Normal"/>
        <w:numPr>
          <w:ilvl w:val="1"/>
          <w:numId w:val="3"/>
        </w:numPr>
        <w:jc w:val="left"/>
        <w:rPr>
          <w:rFonts w:ascii="Times New Roman" w:hAnsi="Times New Roman"/>
          <w:u w:val="none"/>
        </w:rPr>
      </w:pPr>
      <w:r>
        <w:rPr>
          <w:rFonts w:ascii="Times New Roman" w:hAnsi="Times New Roman"/>
          <w:u w:val="none"/>
        </w:rPr>
        <w:t>Categories:</w:t>
      </w:r>
    </w:p>
    <w:p>
      <w:pPr>
        <w:pStyle w:val="Normal"/>
        <w:numPr>
          <w:ilvl w:val="2"/>
          <w:numId w:val="3"/>
        </w:numPr>
        <w:jc w:val="left"/>
        <w:rPr/>
      </w:pPr>
      <w:r>
        <w:rPr>
          <w:rFonts w:ascii="Times New Roman" w:hAnsi="Times New Roman"/>
          <w:b/>
          <w:bCs/>
          <w:u w:val="none"/>
        </w:rPr>
        <w:t>Note</w:t>
      </w:r>
      <w:r>
        <w:rPr>
          <w:rFonts w:ascii="Times New Roman" w:hAnsi="Times New Roman"/>
          <w:u w:val="none"/>
        </w:rPr>
        <w:t xml:space="preserve">: These refer to how </w:t>
      </w:r>
      <w:r>
        <w:rPr>
          <w:rFonts w:ascii="Times New Roman" w:hAnsi="Times New Roman"/>
          <w:i/>
          <w:iCs/>
          <w:u w:val="none"/>
        </w:rPr>
        <w:t>SES</w:t>
      </w:r>
      <w:r>
        <w:rPr>
          <w:rFonts w:ascii="Times New Roman" w:hAnsi="Times New Roman"/>
          <w:u w:val="none"/>
        </w:rPr>
        <w:t xml:space="preserve"> was operationalized, and NOT to how indicators of SES were (e.g., using PCA or a sum score for family assets does </w:t>
      </w:r>
      <w:r>
        <w:rPr>
          <w:rFonts w:ascii="Times New Roman" w:hAnsi="Times New Roman"/>
          <w:i/>
          <w:iCs/>
          <w:u w:val="none"/>
        </w:rPr>
        <w:t>not</w:t>
      </w:r>
      <w:r>
        <w:rPr>
          <w:rFonts w:ascii="Times New Roman" w:hAnsi="Times New Roman"/>
          <w:u w:val="none"/>
        </w:rPr>
        <w:t xml:space="preserve"> count as dimension reduction, but using PCA or a sum score for family assets and income does count as dimension reduction)</w:t>
      </w:r>
    </w:p>
    <w:p>
      <w:pPr>
        <w:pStyle w:val="Normal"/>
        <w:numPr>
          <w:ilvl w:val="2"/>
          <w:numId w:val="3"/>
        </w:numPr>
        <w:jc w:val="left"/>
        <w:rPr/>
      </w:pPr>
      <w:r>
        <w:rPr>
          <w:rFonts w:ascii="Times New Roman" w:hAnsi="Times New Roman"/>
          <w:u w:val="none"/>
        </w:rPr>
        <w:t>“</w:t>
      </w:r>
      <w:r>
        <w:rPr>
          <w:rFonts w:ascii="Times New Roman" w:hAnsi="Times New Roman"/>
          <w:u w:val="none"/>
        </w:rPr>
        <w:t>None given” = didn’t say</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Single indicator” = used only one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Multiple single indicators” = used more than one single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Dimension reduction” = used process to reduce multiple single indicators into fewer variables (e.g., from K=3 to K=2 or 1, where K is the number of variables referred to as SES)</w:t>
      </w:r>
    </w:p>
    <w:p>
      <w:pPr>
        <w:pStyle w:val="Normal"/>
        <w:numPr>
          <w:ilvl w:val="3"/>
          <w:numId w:val="3"/>
        </w:numPr>
        <w:jc w:val="left"/>
        <w:rPr/>
      </w:pPr>
      <w:r>
        <w:rPr>
          <w:rFonts w:ascii="Times New Roman" w:hAnsi="Times New Roman"/>
          <w:u w:val="none"/>
        </w:rPr>
        <w:t>+ “Formative” = used a dimension reduction technique wherein the indicators define the latent variable (e.g., PCA, WLS)</w:t>
      </w:r>
    </w:p>
    <w:p>
      <w:pPr>
        <w:pStyle w:val="Normal"/>
        <w:numPr>
          <w:ilvl w:val="4"/>
          <w:numId w:val="3"/>
        </w:numPr>
        <w:jc w:val="left"/>
        <w:rPr/>
      </w:pPr>
      <w:r>
        <w:rPr>
          <w:rFonts w:ascii="Times New Roman" w:hAnsi="Times New Roman"/>
          <w:u w:val="none"/>
        </w:rPr>
        <w:t>“</w:t>
      </w:r>
      <w:r>
        <w:rPr>
          <w:rFonts w:ascii="Times New Roman" w:hAnsi="Times New Roman"/>
          <w:u w:val="none"/>
        </w:rPr>
        <w:t>PCA” = principal components analysis</w:t>
      </w:r>
    </w:p>
    <w:p>
      <w:pPr>
        <w:pStyle w:val="Normal"/>
        <w:numPr>
          <w:ilvl w:val="4"/>
          <w:numId w:val="3"/>
        </w:numPr>
        <w:jc w:val="left"/>
        <w:rPr/>
      </w:pPr>
      <w:r>
        <w:rPr>
          <w:rFonts w:ascii="Times New Roman" w:hAnsi="Times New Roman"/>
          <w:u w:val="none"/>
        </w:rPr>
        <w:t>“</w:t>
      </w:r>
      <w:r>
        <w:rPr>
          <w:rFonts w:ascii="Times New Roman" w:hAnsi="Times New Roman"/>
          <w:u w:val="none"/>
        </w:rPr>
        <w:t>PLS” = partial least squares</w:t>
      </w:r>
    </w:p>
    <w:p>
      <w:pPr>
        <w:pStyle w:val="Normal"/>
        <w:numPr>
          <w:ilvl w:val="3"/>
          <w:numId w:val="3"/>
        </w:numPr>
        <w:jc w:val="left"/>
        <w:rPr/>
      </w:pPr>
      <w:r>
        <w:rPr>
          <w:rFonts w:ascii="Times New Roman" w:hAnsi="Times New Roman"/>
          <w:u w:val="none"/>
        </w:rPr>
        <w:t>+ “Reflective: = used a dimension reduction technique wherein the latent variable defines (gives rise to) the indicators (e.g., CFA, EFA)</w:t>
      </w:r>
    </w:p>
    <w:p>
      <w:pPr>
        <w:pStyle w:val="Normal"/>
        <w:numPr>
          <w:ilvl w:val="4"/>
          <w:numId w:val="3"/>
        </w:numPr>
        <w:jc w:val="left"/>
        <w:rPr/>
      </w:pPr>
      <w:r>
        <w:rPr>
          <w:rFonts w:ascii="Times New Roman" w:hAnsi="Times New Roman"/>
          <w:u w:val="none"/>
        </w:rPr>
        <w:t>“</w:t>
      </w:r>
      <w:r>
        <w:rPr>
          <w:rFonts w:ascii="Times New Roman" w:hAnsi="Times New Roman"/>
          <w:u w:val="none"/>
        </w:rPr>
        <w:t>CFA” = confirmatory factor analysis</w:t>
      </w:r>
    </w:p>
    <w:p>
      <w:pPr>
        <w:pStyle w:val="Normal"/>
        <w:numPr>
          <w:ilvl w:val="4"/>
          <w:numId w:val="3"/>
        </w:numPr>
        <w:jc w:val="left"/>
        <w:rPr/>
      </w:pPr>
      <w:r>
        <w:rPr>
          <w:rFonts w:ascii="Times New Roman" w:hAnsi="Times New Roman"/>
          <w:u w:val="none"/>
        </w:rPr>
        <w:t>“</w:t>
      </w:r>
      <w:r>
        <w:rPr>
          <w:rFonts w:ascii="Times New Roman" w:hAnsi="Times New Roman"/>
          <w:u w:val="none"/>
        </w:rPr>
        <w:t>EFA” = exploratory factor analysis</w:t>
      </w:r>
    </w:p>
    <w:p>
      <w:pPr>
        <w:pStyle w:val="Normal"/>
        <w:numPr>
          <w:ilvl w:val="3"/>
          <w:numId w:val="3"/>
        </w:numPr>
        <w:jc w:val="left"/>
        <w:rPr/>
      </w:pPr>
      <w:r>
        <w:rPr>
          <w:rFonts w:ascii="Times New Roman" w:hAnsi="Times New Roman"/>
          <w:u w:val="none"/>
        </w:rPr>
        <w:t>+ “Other composite” = used a modeling strategy that doesn’t fall neatly into either of the above (e.g., equal weights could be either reflective or formative, Hollingshead, Duncan SEI)</w:t>
      </w:r>
    </w:p>
    <w:p>
      <w:pPr>
        <w:pStyle w:val="Normal"/>
        <w:numPr>
          <w:ilvl w:val="4"/>
          <w:numId w:val="3"/>
        </w:numPr>
        <w:jc w:val="left"/>
        <w:rPr/>
      </w:pPr>
      <w:r>
        <w:rPr>
          <w:rFonts w:ascii="Times New Roman" w:hAnsi="Times New Roman"/>
          <w:u w:val="none"/>
        </w:rPr>
        <w:t>“</w:t>
      </w:r>
      <w:r>
        <w:rPr>
          <w:rFonts w:ascii="Times New Roman" w:hAnsi="Times New Roman"/>
          <w:u w:val="none"/>
        </w:rPr>
        <w:t xml:space="preserve">Standardized mean” = </w:t>
      </w:r>
      <w:bookmarkStart w:id="0" w:name="__DdeLink__9208_101083012"/>
      <w:bookmarkEnd w:id="0"/>
      <w:r>
        <w:rPr>
          <w:rFonts w:ascii="Times New Roman" w:hAnsi="Times New Roman"/>
          <w:u w:val="none"/>
        </w:rPr>
        <w:t>all indicators standardized and average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Quintiles” = split continuous composite into five groups</w:t>
      </w:r>
    </w:p>
    <w:p>
      <w:pPr>
        <w:pStyle w:val="Normal"/>
        <w:numPr>
          <w:ilvl w:val="4"/>
          <w:numId w:val="3"/>
        </w:numPr>
        <w:jc w:val="left"/>
        <w:rPr/>
      </w:pPr>
      <w:r>
        <w:rPr>
          <w:rFonts w:ascii="Times New Roman" w:hAnsi="Times New Roman"/>
          <w:u w:val="none"/>
        </w:rPr>
        <w:t>“</w:t>
      </w:r>
      <w:r>
        <w:rPr>
          <w:rFonts w:ascii="Times New Roman" w:hAnsi="Times New Roman"/>
          <w:u w:val="none"/>
        </w:rPr>
        <w:t>Trichotomized” = split continuous composite into three groups</w:t>
      </w:r>
    </w:p>
    <w:p>
      <w:pPr>
        <w:pStyle w:val="Normal"/>
        <w:numPr>
          <w:ilvl w:val="4"/>
          <w:numId w:val="3"/>
        </w:numPr>
        <w:jc w:val="left"/>
        <w:rPr/>
      </w:pPr>
      <w:r>
        <w:rPr>
          <w:rFonts w:ascii="Times New Roman" w:hAnsi="Times New Roman"/>
          <w:u w:val="none"/>
        </w:rPr>
        <w:t>“</w:t>
      </w:r>
      <w:r>
        <w:rPr>
          <w:rFonts w:ascii="Times New Roman" w:hAnsi="Times New Roman"/>
          <w:u w:val="none"/>
        </w:rPr>
        <w:t>Normalized mean” = all indicators changed to same scale and average of normalized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Logarithm” = logarithm of indicators used</w:t>
      </w:r>
    </w:p>
    <w:p>
      <w:pPr>
        <w:pStyle w:val="Normal"/>
        <w:numPr>
          <w:ilvl w:val="4"/>
          <w:numId w:val="3"/>
        </w:numPr>
        <w:jc w:val="left"/>
        <w:rPr/>
      </w:pPr>
      <w:r>
        <w:rPr>
          <w:rFonts w:ascii="Times New Roman" w:hAnsi="Times New Roman"/>
          <w:u w:val="none"/>
        </w:rPr>
        <w:t>“</w:t>
      </w:r>
      <w:r>
        <w:rPr>
          <w:rFonts w:ascii="Times New Roman" w:hAnsi="Times New Roman"/>
          <w:u w:val="none"/>
        </w:rPr>
        <w:t>Sum” = sum of indicators</w:t>
      </w:r>
    </w:p>
    <w:p>
      <w:pPr>
        <w:pStyle w:val="Normal"/>
        <w:numPr>
          <w:ilvl w:val="4"/>
          <w:numId w:val="3"/>
        </w:numPr>
        <w:jc w:val="left"/>
        <w:rPr/>
      </w:pPr>
      <w:r>
        <w:rPr>
          <w:rFonts w:ascii="Times New Roman" w:hAnsi="Times New Roman"/>
          <w:u w:val="none"/>
        </w:rPr>
        <w:t>“</w:t>
      </w:r>
      <w:r>
        <w:rPr>
          <w:rFonts w:ascii="Times New Roman" w:hAnsi="Times New Roman"/>
          <w:u w:val="none"/>
        </w:rPr>
        <w:t>Mean” = mean of indicators</w:t>
      </w:r>
    </w:p>
    <w:p>
      <w:pPr>
        <w:pStyle w:val="Normal"/>
        <w:numPr>
          <w:ilvl w:val="4"/>
          <w:numId w:val="3"/>
        </w:numPr>
        <w:jc w:val="left"/>
        <w:rPr/>
      </w:pPr>
      <w:r>
        <w:rPr>
          <w:rFonts w:ascii="Times New Roman" w:hAnsi="Times New Roman"/>
          <w:u w:val="none"/>
        </w:rPr>
        <w:t>“</w:t>
      </w:r>
      <w:r>
        <w:rPr>
          <w:rFonts w:ascii="Times New Roman" w:hAnsi="Times New Roman"/>
          <w:u w:val="none"/>
        </w:rPr>
        <w:t>Standardized sum” = all indicators standardized and sum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Dichotomized” = split continuous composite into two groups</w:t>
      </w:r>
    </w:p>
    <w:p>
      <w:pPr>
        <w:pStyle w:val="Normal"/>
        <w:numPr>
          <w:ilvl w:val="2"/>
          <w:numId w:val="3"/>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2"/>
          <w:numId w:val="3"/>
        </w:numPr>
        <w:jc w:val="left"/>
        <w:rPr>
          <w:rFonts w:ascii="Times New Roman" w:hAnsi="Times New Roman"/>
          <w:u w:val="none"/>
        </w:rPr>
      </w:pPr>
      <w:r>
        <w:rPr>
          <w:rFonts w:ascii="Times New Roman" w:hAnsi="Times New Roman"/>
          <w:u w:val="none"/>
        </w:rPr>
        <w:t>Modifications to indicators:</w:t>
      </w:r>
    </w:p>
    <w:p>
      <w:pPr>
        <w:pStyle w:val="Normal"/>
        <w:numPr>
          <w:ilvl w:val="3"/>
          <w:numId w:val="3"/>
        </w:numPr>
        <w:jc w:val="left"/>
        <w:rPr/>
      </w:pPr>
      <w:r>
        <w:rPr>
          <w:rFonts w:ascii="Times New Roman" w:hAnsi="Times New Roman"/>
          <w:u w:val="none"/>
        </w:rPr>
        <w:t>“</w:t>
      </w:r>
      <w:r>
        <w:rPr>
          <w:rFonts w:ascii="Times New Roman" w:hAnsi="Times New Roman"/>
          <w:u w:val="none"/>
        </w:rPr>
        <w:t>Dichotomized” = made an otherwise non-binary indicator binary</w:t>
      </w:r>
    </w:p>
    <w:p>
      <w:pPr>
        <w:pStyle w:val="Normal"/>
        <w:numPr>
          <w:ilvl w:val="2"/>
          <w:numId w:val="3"/>
        </w:numPr>
        <w:jc w:val="left"/>
        <w:rPr/>
      </w:pPr>
      <w:r>
        <w:rPr>
          <w:rFonts w:ascii="Times New Roman" w:hAnsi="Times New Roman"/>
          <w:u w:val="none"/>
        </w:rPr>
        <w:t>“</w:t>
      </w:r>
      <w:r>
        <w:rPr>
          <w:rFonts w:ascii="Times New Roman" w:hAnsi="Times New Roman"/>
          <w:u w:val="none"/>
        </w:rPr>
        <w:t>Mixed” = mix of single indicator approaches and dimension reduction approaches</w:t>
      </w:r>
    </w:p>
    <w:p>
      <w:pPr>
        <w:pStyle w:val="Normal"/>
        <w:jc w:val="left"/>
        <w:rPr/>
      </w:pPr>
      <w:r>
        <w:rPr>
          <w:rFonts w:ascii="Times New Roman" w:hAnsi="Times New Roman"/>
          <w:u w:val="none"/>
        </w:rPr>
        <w:t>Protocol for writing codes:</w:t>
      </w:r>
    </w:p>
    <w:p>
      <w:pPr>
        <w:pStyle w:val="Normal"/>
        <w:numPr>
          <w:ilvl w:val="0"/>
          <w:numId w:val="5"/>
        </w:numPr>
        <w:jc w:val="left"/>
        <w:rPr/>
      </w:pPr>
      <w:r>
        <w:rPr>
          <w:rFonts w:ascii="Times New Roman" w:hAnsi="Times New Roman"/>
          <w:u w:val="none"/>
        </w:rPr>
        <w:t>No abbreviations or conjunctions other than SES (i.e., write “did not”, not “don’t”)</w:t>
      </w:r>
    </w:p>
    <w:p>
      <w:pPr>
        <w:pStyle w:val="Normal"/>
        <w:numPr>
          <w:ilvl w:val="0"/>
          <w:numId w:val="5"/>
        </w:numPr>
        <w:jc w:val="left"/>
        <w:rPr/>
      </w:pPr>
      <w:r>
        <w:rPr>
          <w:rFonts w:ascii="Times New Roman" w:hAnsi="Times New Roman"/>
          <w:u w:val="none"/>
        </w:rPr>
        <w:t>Capitalize the first letter of each code</w:t>
      </w:r>
    </w:p>
    <w:p>
      <w:pPr>
        <w:pStyle w:val="Normal"/>
        <w:numPr>
          <w:ilvl w:val="0"/>
          <w:numId w:val="5"/>
        </w:numPr>
        <w:jc w:val="left"/>
        <w:rPr/>
      </w:pPr>
      <w:r>
        <w:rPr>
          <w:rFonts w:ascii="Times New Roman" w:hAnsi="Times New Roman"/>
          <w:u w:val="none"/>
        </w:rPr>
        <w:t>Use spaces to separate words</w:t>
      </w:r>
    </w:p>
    <w:p>
      <w:pPr>
        <w:pStyle w:val="Normal"/>
        <w:numPr>
          <w:ilvl w:val="0"/>
          <w:numId w:val="5"/>
        </w:numPr>
        <w:jc w:val="left"/>
        <w:rPr/>
      </w:pPr>
      <w:r>
        <w:rPr>
          <w:rFonts w:ascii="Times New Roman" w:hAnsi="Times New Roman"/>
          <w:u w:val="none"/>
        </w:rPr>
        <w:t>Elaborating operationalizations:</w:t>
      </w:r>
    </w:p>
    <w:p>
      <w:pPr>
        <w:pStyle w:val="Normal"/>
        <w:numPr>
          <w:ilvl w:val="1"/>
          <w:numId w:val="5"/>
        </w:numPr>
        <w:jc w:val="left"/>
        <w:rPr/>
      </w:pPr>
      <w:r>
        <w:rPr>
          <w:rFonts w:ascii="Times New Roman" w:hAnsi="Times New Roman"/>
          <w:u w:val="none"/>
        </w:rPr>
        <w:t>In addition to recording the type of operationalization (e.g., “Multiple single indicators”), need to record content of operationalization (e.g., income, education)</w:t>
      </w:r>
    </w:p>
    <w:p>
      <w:pPr>
        <w:pStyle w:val="Normal"/>
        <w:numPr>
          <w:ilvl w:val="1"/>
          <w:numId w:val="5"/>
        </w:numPr>
        <w:jc w:val="left"/>
        <w:rPr/>
      </w:pPr>
      <w:r>
        <w:rPr>
          <w:rFonts w:ascii="Times New Roman" w:hAnsi="Times New Roman"/>
          <w:u w:val="none"/>
        </w:rPr>
        <w:t>Separate type from content using an underscore (i.e., “Single indicator_income”)</w:t>
      </w:r>
    </w:p>
    <w:p>
      <w:pPr>
        <w:pStyle w:val="Normal"/>
        <w:numPr>
          <w:ilvl w:val="1"/>
          <w:numId w:val="5"/>
        </w:numPr>
        <w:jc w:val="left"/>
        <w:rPr/>
      </w:pPr>
      <w:r>
        <w:rPr>
          <w:rFonts w:ascii="Times New Roman" w:hAnsi="Times New Roman"/>
          <w:u w:val="none"/>
        </w:rPr>
        <w:t>If writing a list of content, separate elements of list using hyphens (i.e., “Multiple single indicators_income-education-occupational prestige”)</w:t>
      </w:r>
    </w:p>
    <w:p>
      <w:pPr>
        <w:pStyle w:val="Normal"/>
        <w:numPr>
          <w:ilvl w:val="2"/>
          <w:numId w:val="5"/>
        </w:numPr>
        <w:jc w:val="left"/>
        <w:rPr/>
      </w:pPr>
      <w:r>
        <w:rPr>
          <w:rFonts w:ascii="Times New Roman" w:hAnsi="Times New Roman"/>
          <w:u w:val="none"/>
        </w:rPr>
        <w:t>Within an element of a list, separate words using spaces (e.g., “occupational prestige”, not “occupationalPrestige” or something else)</w:t>
      </w:r>
    </w:p>
    <w:p>
      <w:pPr>
        <w:pStyle w:val="Normal"/>
        <w:numPr>
          <w:ilvl w:val="1"/>
          <w:numId w:val="5"/>
        </w:numPr>
        <w:jc w:val="left"/>
        <w:rPr/>
      </w:pPr>
      <w:r>
        <w:rPr>
          <w:rFonts w:ascii="Times New Roman" w:hAnsi="Times New Roman"/>
          <w:u w:val="none"/>
        </w:rPr>
        <w:t>Modifications are listed in brackets ([]) after the indicator to which they apply and separated by a space from the indicator (e.g., “income [dichotomized]”)</w:t>
      </w:r>
    </w:p>
    <w:p>
      <w:pPr>
        <w:pStyle w:val="Normal"/>
        <w:numPr>
          <w:ilvl w:val="0"/>
          <w:numId w:val="5"/>
        </w:numPr>
        <w:jc w:val="left"/>
        <w:rPr/>
      </w:pPr>
      <w:r>
        <w:rPr>
          <w:rFonts w:ascii="Times New Roman" w:hAnsi="Times New Roman"/>
          <w:u w:val="none"/>
        </w:rPr>
        <w:t>Elaborating “Dimension reduction”:</w:t>
      </w:r>
    </w:p>
    <w:p>
      <w:pPr>
        <w:pStyle w:val="Normal"/>
        <w:numPr>
          <w:ilvl w:val="1"/>
          <w:numId w:val="5"/>
        </w:numPr>
        <w:jc w:val="left"/>
        <w:rPr/>
      </w:pPr>
      <w:r>
        <w:rPr>
          <w:rFonts w:ascii="Times New Roman" w:hAnsi="Times New Roman"/>
          <w:u w:val="none"/>
        </w:rPr>
        <w:t>Place type of dimension reduction in brackets ([]) next to after “Dimension reduction” (e.g., “Dimension reduction [Reflective]_income-education”)</w:t>
      </w:r>
    </w:p>
    <w:p>
      <w:pPr>
        <w:pStyle w:val="Normal"/>
        <w:numPr>
          <w:ilvl w:val="1"/>
          <w:numId w:val="5"/>
        </w:numPr>
        <w:jc w:val="left"/>
        <w:rPr/>
      </w:pPr>
      <w:r>
        <w:rPr>
          <w:rFonts w:ascii="Times New Roman" w:hAnsi="Times New Roman"/>
          <w:u w:val="none"/>
        </w:rPr>
        <w:t>Specific method of dimension reduction should follow general type, separated by a period (e.g., “Dimension reduction [Reflective.CFA]_income-education-employment”)</w:t>
      </w:r>
    </w:p>
    <w:p>
      <w:pPr>
        <w:pStyle w:val="Normal"/>
        <w:numPr>
          <w:ilvl w:val="1"/>
          <w:numId w:val="5"/>
        </w:numPr>
        <w:jc w:val="left"/>
        <w:rPr/>
      </w:pPr>
      <w:r>
        <w:rPr>
          <w:rFonts w:ascii="Times New Roman" w:hAnsi="Times New Roman"/>
          <w:u w:val="none"/>
        </w:rPr>
        <w:t>Elaborating “Other composite”:</w:t>
      </w:r>
    </w:p>
    <w:p>
      <w:pPr>
        <w:pStyle w:val="Normal"/>
        <w:numPr>
          <w:ilvl w:val="3"/>
          <w:numId w:val="5"/>
        </w:numPr>
        <w:jc w:val="left"/>
        <w:rPr/>
      </w:pPr>
      <w:r>
        <w:rPr>
          <w:rFonts w:ascii="Times New Roman" w:hAnsi="Times New Roman"/>
          <w:u w:val="none"/>
        </w:rPr>
        <w:t>For non-standard approaches (e.g., not using name-brand indices like Hollingshead or Duncan), indicate the modeling strategy used after “Other composite”, separated by a period (e.g., “Dimension reduction [Other composite.mean]_income-education”)</w:t>
      </w:r>
    </w:p>
    <w:p>
      <w:pPr>
        <w:pStyle w:val="Normal"/>
        <w:numPr>
          <w:ilvl w:val="3"/>
          <w:numId w:val="5"/>
        </w:numPr>
        <w:jc w:val="left"/>
        <w:rPr/>
      </w:pPr>
      <w:r>
        <w:rPr>
          <w:rFonts w:ascii="Times New Roman" w:hAnsi="Times New Roman"/>
          <w:u w:val="none"/>
        </w:rPr>
        <w:t>Each period represents a separate elaboration approach</w:t>
      </w:r>
    </w:p>
    <w:p>
      <w:pPr>
        <w:pStyle w:val="Normal"/>
        <w:numPr>
          <w:ilvl w:val="0"/>
          <w:numId w:val="5"/>
        </w:numPr>
        <w:jc w:val="left"/>
        <w:rPr/>
      </w:pPr>
      <w:r>
        <w:rPr>
          <w:rFonts w:ascii="Times New Roman" w:hAnsi="Times New Roman"/>
          <w:u w:val="none"/>
        </w:rPr>
        <w:t>Elaborating “Mixed”:</w:t>
      </w:r>
    </w:p>
    <w:p>
      <w:pPr>
        <w:pStyle w:val="Normal"/>
        <w:numPr>
          <w:ilvl w:val="1"/>
          <w:numId w:val="5"/>
        </w:numPr>
        <w:jc w:val="left"/>
        <w:rPr/>
      </w:pPr>
      <w:r>
        <w:rPr>
          <w:rFonts w:ascii="Times New Roman" w:hAnsi="Times New Roman"/>
          <w:u w:val="none"/>
        </w:rPr>
        <w:t>If dimension reduction involves multiple smaller indicators, give a label to the latent variable (e.g., “subjective SES composite”) and indicate indicators in brackets, spearated by hyphens (e.g., “subjective SES composite [subjective MacArthur ladder-perceived financial difficulties]”)</w:t>
      </w:r>
    </w:p>
    <w:p>
      <w:pPr>
        <w:pStyle w:val="Normal"/>
        <w:numPr>
          <w:ilvl w:val="1"/>
          <w:numId w:val="5"/>
        </w:numPr>
        <w:jc w:val="left"/>
        <w:rPr/>
      </w:pPr>
      <w:r>
        <w:rPr>
          <w:rFonts w:ascii="Times New Roman" w:hAnsi="Times New Roman"/>
          <w:u w:val="none"/>
        </w:rPr>
        <w:t>If method for combination given (e.g., mean, sum, etc.), write it after the indicators, separated by a period (e.g., “objective SES composite [income-education.Standardized mean]</w:t>
      </w:r>
    </w:p>
    <w:p>
      <w:pPr>
        <w:pStyle w:val="Normal"/>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Reason for operationalization</w:t>
      </w:r>
    </w:p>
    <w:p>
      <w:pPr>
        <w:pStyle w:val="Normal"/>
        <w:numPr>
          <w:ilvl w:val="1"/>
          <w:numId w:val="4"/>
        </w:numPr>
        <w:jc w:val="left"/>
        <w:rPr/>
      </w:pPr>
      <w:r>
        <w:rPr>
          <w:rFonts w:ascii="Times New Roman" w:hAnsi="Times New Roman"/>
          <w:u w:val="none"/>
        </w:rPr>
        <w:t>Categories:</w:t>
      </w:r>
    </w:p>
    <w:p>
      <w:pPr>
        <w:pStyle w:val="Normal"/>
        <w:numPr>
          <w:ilvl w:val="2"/>
          <w:numId w:val="4"/>
        </w:numPr>
        <w:jc w:val="left"/>
        <w:rPr>
          <w:b/>
          <w:b/>
          <w:bCs/>
        </w:rPr>
      </w:pPr>
      <w:r>
        <w:rPr>
          <w:rFonts w:ascii="Times New Roman" w:hAnsi="Times New Roman"/>
          <w:b/>
          <w:bCs/>
          <w:u w:val="none"/>
        </w:rPr>
        <w:t>Note:</w:t>
      </w:r>
      <w:r>
        <w:rPr>
          <w:rFonts w:ascii="Times New Roman" w:hAnsi="Times New Roman"/>
          <w:b w:val="false"/>
          <w:bCs w:val="false"/>
          <w:u w:val="none"/>
        </w:rPr>
        <w:t xml:space="preserve"> These refer </w:t>
      </w:r>
      <w:r>
        <w:rPr>
          <w:rFonts w:ascii="Times New Roman" w:hAnsi="Times New Roman"/>
          <w:b w:val="false"/>
          <w:bCs w:val="false"/>
          <w:i w:val="false"/>
          <w:iCs w:val="false"/>
          <w:u w:val="none"/>
        </w:rPr>
        <w:t xml:space="preserve">to </w:t>
      </w:r>
      <w:r>
        <w:rPr>
          <w:rFonts w:ascii="Times New Roman" w:hAnsi="Times New Roman"/>
          <w:b w:val="false"/>
          <w:bCs w:val="false"/>
          <w:i/>
          <w:iCs/>
          <w:u w:val="none"/>
        </w:rPr>
        <w:t>both</w:t>
      </w:r>
      <w:r>
        <w:rPr>
          <w:rFonts w:ascii="Times New Roman" w:hAnsi="Times New Roman"/>
          <w:b w:val="false"/>
          <w:bCs w:val="false"/>
          <w:i w:val="false"/>
          <w:iCs w:val="false"/>
          <w:u w:val="none"/>
        </w:rPr>
        <w:t xml:space="preserve"> how indicators were chosen and how a modeling procedure was chosen.</w:t>
      </w:r>
    </w:p>
    <w:p>
      <w:pPr>
        <w:pStyle w:val="Normal"/>
        <w:numPr>
          <w:ilvl w:val="2"/>
          <w:numId w:val="4"/>
        </w:numPr>
        <w:jc w:val="left"/>
        <w:rPr>
          <w:b/>
          <w:b/>
          <w:bCs/>
        </w:rPr>
      </w:pPr>
      <w:r>
        <w:rPr>
          <w:rFonts w:ascii="Times New Roman" w:hAnsi="Times New Roman"/>
          <w:b/>
          <w:bCs/>
          <w:i w:val="false"/>
          <w:iCs w:val="false"/>
          <w:u w:val="none"/>
        </w:rPr>
        <w:t xml:space="preserve">Note: </w:t>
      </w:r>
      <w:r>
        <w:rPr>
          <w:rFonts w:ascii="Times New Roman" w:hAnsi="Times New Roman"/>
          <w:b w:val="false"/>
          <w:bCs w:val="false"/>
          <w:i w:val="false"/>
          <w:iCs w:val="false"/>
          <w:u w:val="none"/>
        </w:rPr>
        <w:t xml:space="preserve">These refer to how </w:t>
      </w:r>
      <w:r>
        <w:rPr>
          <w:rFonts w:ascii="Times New Roman" w:hAnsi="Times New Roman"/>
          <w:b w:val="false"/>
          <w:bCs w:val="false"/>
          <w:i/>
          <w:iCs/>
          <w:u w:val="none"/>
        </w:rPr>
        <w:t>SES</w:t>
      </w:r>
      <w:r>
        <w:rPr>
          <w:rFonts w:ascii="Times New Roman" w:hAnsi="Times New Roman"/>
          <w:b w:val="false"/>
          <w:bCs w:val="false"/>
          <w:i w:val="false"/>
          <w:iCs w:val="false"/>
          <w:u w:val="none"/>
        </w:rPr>
        <w:t xml:space="preserve"> was operationalized, and NOT to how indicators of SES were (e.g., using PCA or a sum score for family assets because it is recommended by other researchers does </w:t>
      </w:r>
      <w:r>
        <w:rPr>
          <w:rFonts w:ascii="Times New Roman" w:hAnsi="Times New Roman"/>
          <w:b w:val="false"/>
          <w:bCs w:val="false"/>
          <w:i/>
          <w:iCs/>
          <w:u w:val="none"/>
        </w:rPr>
        <w:t>not</w:t>
      </w:r>
      <w:r>
        <w:rPr>
          <w:rFonts w:ascii="Times New Roman" w:hAnsi="Times New Roman"/>
          <w:b w:val="false"/>
          <w:bCs w:val="false"/>
          <w:i w:val="false"/>
          <w:iCs w:val="false"/>
          <w:u w:val="none"/>
        </w:rPr>
        <w:t xml:space="preserve"> count as “Prior work”, but using PCA or a sum score for family assets and income to measure SES because other researchers recommend it does count as “Prior work”) </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say</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4"/>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3"/>
          <w:numId w:val="4"/>
        </w:numPr>
        <w:jc w:val="left"/>
        <w:rPr>
          <w:rFonts w:ascii="Times New Roman" w:hAnsi="Times New Roman"/>
          <w:u w:val="none"/>
        </w:rPr>
      </w:pPr>
      <w:r>
        <w:rPr>
          <w:rFonts w:ascii="Times New Roman" w:hAnsi="Times New Roman"/>
          <w:u w:val="none"/>
        </w:rPr>
        <w:t>But some ideas from Kachmar et al. (2019):</w:t>
      </w:r>
    </w:p>
    <w:p>
      <w:pPr>
        <w:pStyle w:val="Normal"/>
        <w:numPr>
          <w:ilvl w:val="4"/>
          <w:numId w:val="4"/>
        </w:numPr>
        <w:jc w:val="left"/>
        <w:rPr/>
      </w:pPr>
      <w:r>
        <w:rPr>
          <w:rFonts w:ascii="Times New Roman" w:hAnsi="Times New Roman"/>
          <w:u w:val="none"/>
        </w:rPr>
        <w:t>“</w:t>
      </w:r>
      <w:r>
        <w:rPr>
          <w:rFonts w:ascii="Times New Roman" w:hAnsi="Times New Roman"/>
          <w:u w:val="none"/>
        </w:rPr>
        <w:t>Evidence based” = using prior knowledge of relation between particular operationalization and particular outcome or related outcomes</w:t>
      </w:r>
    </w:p>
    <w:p>
      <w:pPr>
        <w:pStyle w:val="Normal"/>
        <w:numPr>
          <w:ilvl w:val="5"/>
          <w:numId w:val="4"/>
        </w:numPr>
        <w:jc w:val="left"/>
        <w:rPr/>
      </w:pPr>
      <w:r>
        <w:rPr>
          <w:rFonts w:ascii="Times New Roman" w:hAnsi="Times New Roman"/>
          <w:u w:val="none"/>
        </w:rPr>
        <w:t>e.g., “A major review has suggested its [two factor Hollingshead] consistency in pre- dicting psychotherapy outcomes”</w:t>
      </w:r>
    </w:p>
    <w:p>
      <w:pPr>
        <w:pStyle w:val="Normal"/>
        <w:numPr>
          <w:ilvl w:val="5"/>
          <w:numId w:val="4"/>
        </w:numPr>
        <w:jc w:val="left"/>
        <w:rPr/>
      </w:pPr>
      <w:r>
        <w:rPr>
          <w:rFonts w:ascii="Times New Roman" w:hAnsi="Times New Roman"/>
          <w:u w:val="none"/>
        </w:rPr>
        <w:t>e.g., “Meta- analyses show that the same factors traditionally appear to predict poor treatment outcome and high attrition from trials (Lundahl et al., 2006; Reyno &amp; McGrath, 2006). Following this literature, we examined two sets of potential moderators of outcome, assessed at age 2. Family risk factors included mother a single parent, mother a teen at the birth of her first child, low maternal educational level, and maternal alcohol or drug problem.”</w:t>
      </w:r>
    </w:p>
    <w:p>
      <w:pPr>
        <w:pStyle w:val="Normal"/>
        <w:numPr>
          <w:ilvl w:val="5"/>
          <w:numId w:val="4"/>
        </w:numPr>
        <w:jc w:val="left"/>
        <w:rPr/>
      </w:pPr>
      <w:r>
        <w:rPr>
          <w:rFonts w:ascii="Times New Roman" w:hAnsi="Times New Roman"/>
          <w:u w:val="none"/>
        </w:rPr>
        <w:t>e.g., “In addition, this SES index is more linked to obesity than family income”</w:t>
      </w:r>
    </w:p>
    <w:p>
      <w:pPr>
        <w:pStyle w:val="Normal"/>
        <w:numPr>
          <w:ilvl w:val="4"/>
          <w:numId w:val="4"/>
        </w:numPr>
        <w:jc w:val="left"/>
        <w:rPr/>
      </w:pPr>
      <w:r>
        <w:rPr>
          <w:rFonts w:ascii="Times New Roman" w:hAnsi="Times New Roman"/>
          <w:u w:val="none"/>
        </w:rPr>
        <w:t>“</w:t>
      </w:r>
      <w:r>
        <w:rPr>
          <w:rFonts w:ascii="Times New Roman" w:hAnsi="Times New Roman"/>
          <w:u w:val="none"/>
        </w:rPr>
        <w:t>Prior work” = prior research used same operationalization, but no stated relevance of operationalization to current study</w:t>
      </w:r>
    </w:p>
    <w:p>
      <w:pPr>
        <w:pStyle w:val="Normal"/>
        <w:numPr>
          <w:ilvl w:val="5"/>
          <w:numId w:val="4"/>
        </w:numPr>
        <w:jc w:val="left"/>
        <w:rPr/>
      </w:pPr>
      <w:r>
        <w:rPr>
          <w:rFonts w:ascii="Times New Roman" w:hAnsi="Times New Roman"/>
          <w:u w:val="none"/>
        </w:rPr>
        <w:t>e.g., "Hollingshead’s operationalization of socioeconomic status using four factors is the most widely used and validated measure of socioeconomic status in psychological research”</w:t>
      </w:r>
    </w:p>
    <w:p>
      <w:pPr>
        <w:pStyle w:val="Normal"/>
        <w:numPr>
          <w:ilvl w:val="4"/>
          <w:numId w:val="4"/>
        </w:numPr>
        <w:jc w:val="left"/>
        <w:rPr/>
      </w:pPr>
      <w:r>
        <w:rPr>
          <w:rFonts w:ascii="Times New Roman" w:hAnsi="Times New Roman"/>
          <w:u w:val="none"/>
        </w:rPr>
        <w:t>“</w:t>
      </w:r>
      <w:r>
        <w:rPr>
          <w:rFonts w:ascii="Times New Roman" w:hAnsi="Times New Roman"/>
          <w:u w:val="none"/>
        </w:rPr>
        <w:t>Undetailed reason” = stated a rationale without justifying details or criterion [I don’t know what this means]</w:t>
      </w:r>
    </w:p>
    <w:p>
      <w:pPr>
        <w:pStyle w:val="Normal"/>
        <w:numPr>
          <w:ilvl w:val="2"/>
          <w:numId w:val="4"/>
        </w:numPr>
        <w:jc w:val="left"/>
        <w:rPr/>
      </w:pPr>
      <w:r>
        <w:rPr>
          <w:rFonts w:ascii="Times New Roman" w:hAnsi="Times New Roman"/>
          <w:u w:val="none"/>
        </w:rPr>
        <w:t>From data (indicators):</w:t>
      </w:r>
    </w:p>
    <w:p>
      <w:pPr>
        <w:pStyle w:val="Normal"/>
        <w:numPr>
          <w:ilvl w:val="3"/>
          <w:numId w:val="4"/>
        </w:numPr>
        <w:jc w:val="left"/>
        <w:rPr/>
      </w:pPr>
      <w:r>
        <w:rPr>
          <w:rFonts w:ascii="Times New Roman" w:hAnsi="Times New Roman"/>
          <w:u w:val="none"/>
        </w:rPr>
        <w:t>“</w:t>
      </w:r>
      <w:r>
        <w:rPr>
          <w:rFonts w:ascii="Times New Roman" w:hAnsi="Times New Roman"/>
          <w:u w:val="none"/>
        </w:rPr>
        <w:t>Parallel forms” = Operationalization of SES correlates with other possible operationalizations of SES</w:t>
      </w:r>
    </w:p>
    <w:p>
      <w:pPr>
        <w:pStyle w:val="Normal"/>
        <w:numPr>
          <w:ilvl w:val="4"/>
          <w:numId w:val="4"/>
        </w:numPr>
        <w:jc w:val="left"/>
        <w:rPr/>
      </w:pPr>
      <w:r>
        <w:rPr>
          <w:rFonts w:ascii="Times New Roman" w:hAnsi="Times New Roman"/>
          <w:u w:val="none"/>
        </w:rPr>
        <w:t>e.g., “The measure [Hollingshead’s index] correlates highly with other indices of social status”</w:t>
      </w:r>
    </w:p>
    <w:p>
      <w:pPr>
        <w:pStyle w:val="Normal"/>
        <w:numPr>
          <w:ilvl w:val="3"/>
          <w:numId w:val="4"/>
        </w:numPr>
        <w:jc w:val="left"/>
        <w:rPr/>
      </w:pPr>
      <w:r>
        <w:rPr>
          <w:rFonts w:ascii="Times New Roman" w:hAnsi="Times New Roman"/>
          <w:u w:val="none"/>
        </w:rPr>
        <w:t>“</w:t>
      </w:r>
      <w:r>
        <w:rPr>
          <w:rFonts w:ascii="Times New Roman" w:hAnsi="Times New Roman"/>
          <w:u w:val="none"/>
        </w:rPr>
        <w:t>Content validity” = Operationalization of SES intended to capture multiple different aspects of SES</w:t>
      </w:r>
    </w:p>
    <w:p>
      <w:pPr>
        <w:pStyle w:val="Normal"/>
        <w:numPr>
          <w:ilvl w:val="4"/>
          <w:numId w:val="4"/>
        </w:numPr>
        <w:jc w:val="left"/>
        <w:rPr/>
      </w:pPr>
      <w:r>
        <w:rPr>
          <w:rFonts w:ascii="Times New Roman" w:hAnsi="Times New Roman"/>
          <w:u w:val="none"/>
        </w:rPr>
        <w:t>e.g., “In this study, using all three indicators serves the purpose of attempting to address discrepancies in the literature on SES and treatment outcome, because most studies have used only one of these three indicators, with varying results"</w:t>
      </w:r>
    </w:p>
    <w:p>
      <w:pPr>
        <w:pStyle w:val="Normal"/>
        <w:numPr>
          <w:ilvl w:val="4"/>
          <w:numId w:val="4"/>
        </w:numPr>
        <w:jc w:val="left"/>
        <w:rPr/>
      </w:pPr>
      <w:r>
        <w:rPr>
          <w:rFonts w:ascii="Times New Roman" w:hAnsi="Times New Roman"/>
          <w:u w:val="none"/>
        </w:rPr>
        <w:t>e.g., “</w:t>
      </w:r>
      <w:r>
        <w:rPr>
          <w:rFonts w:ascii="Times New Roman" w:hAnsi="Times New Roman"/>
          <w:u w:val="none"/>
        </w:rPr>
        <w:t>The measures one chooses to examine SES reflect different underlying conceptual- izations that may be associated with different pathways linking SES to children’s health (Bradley &amp; Corwyn, 2002). Thus, the use of multiple indices of SES is i"mperative for delineating relations between SES and child health.”</w:t>
      </w:r>
    </w:p>
    <w:p>
      <w:pPr>
        <w:pStyle w:val="Normal"/>
        <w:numPr>
          <w:ilvl w:val="3"/>
          <w:numId w:val="4"/>
        </w:numPr>
        <w:jc w:val="left"/>
        <w:rPr/>
      </w:pPr>
      <w:r>
        <w:rPr>
          <w:rFonts w:ascii="Times New Roman" w:hAnsi="Times New Roman"/>
          <w:u w:val="none"/>
        </w:rPr>
        <w:t>“</w:t>
      </w:r>
      <w:r>
        <w:rPr>
          <w:rFonts w:ascii="Times New Roman" w:hAnsi="Times New Roman"/>
          <w:u w:val="none"/>
        </w:rPr>
        <w:t>Data availability” = Operationalization chosen, or not chosen, because of high, or low, availability for many participants</w:t>
      </w:r>
    </w:p>
    <w:p>
      <w:pPr>
        <w:pStyle w:val="Normal"/>
        <w:numPr>
          <w:ilvl w:val="4"/>
          <w:numId w:val="4"/>
        </w:numPr>
        <w:jc w:val="left"/>
        <w:rPr/>
      </w:pPr>
      <w:r>
        <w:rPr>
          <w:rFonts w:ascii="Times New Roman" w:hAnsi="Times New Roman"/>
          <w:u w:val="none"/>
        </w:rPr>
        <w:t>e.g., “An occupational measure of SES [at 22 years] was not used at that age because only about half of the subjects had completed their vocational studies by that age and had moved into working life”</w:t>
      </w:r>
    </w:p>
    <w:p>
      <w:pPr>
        <w:pStyle w:val="Normal"/>
        <w:numPr>
          <w:ilvl w:val="3"/>
          <w:numId w:val="4"/>
        </w:numPr>
        <w:jc w:val="left"/>
        <w:rPr/>
      </w:pPr>
      <w:r>
        <w:rPr>
          <w:rFonts w:ascii="Times New Roman" w:hAnsi="Times New Roman"/>
          <w:u w:val="none"/>
        </w:rPr>
        <w:t>“</w:t>
      </w:r>
      <w:r>
        <w:rPr>
          <w:rFonts w:ascii="Times New Roman" w:hAnsi="Times New Roman"/>
          <w:u w:val="none"/>
        </w:rPr>
        <w:t>Population appropriate” = Operationalization of SES particularly good for proxying SES within a particular population</w:t>
      </w:r>
    </w:p>
    <w:p>
      <w:pPr>
        <w:pStyle w:val="Normal"/>
        <w:numPr>
          <w:ilvl w:val="4"/>
          <w:numId w:val="4"/>
        </w:numPr>
        <w:jc w:val="left"/>
        <w:rPr/>
      </w:pPr>
      <w:r>
        <w:rPr>
          <w:rFonts w:ascii="Times New Roman" w:hAnsi="Times New Roman"/>
          <w:u w:val="none"/>
        </w:rPr>
        <w:t>e.g., “Our focus on family structural assets as a culturally ap-propriate measure of disadvantage may be a better proxy of socioeconomic risks that undermine maternal opportunities to de-velop verbal skills than of acute stressors known to affect maternalfluid intelligence and executive function skills.”</w:t>
      </w:r>
    </w:p>
    <w:p>
      <w:pPr>
        <w:pStyle w:val="Normal"/>
        <w:numPr>
          <w:ilvl w:val="4"/>
          <w:numId w:val="4"/>
        </w:numPr>
        <w:jc w:val="left"/>
        <w:rPr/>
      </w:pPr>
      <w:r>
        <w:rPr>
          <w:rFonts w:ascii="Times New Roman" w:hAnsi="Times New Roman"/>
          <w:u w:val="none"/>
        </w:rPr>
        <w:t>e.g., “In the Finnish schooling system, completing high school is the most prominent divisor as regards later educational attainment, and a prerequisite for practically all university studies.”</w:t>
      </w:r>
    </w:p>
    <w:p>
      <w:pPr>
        <w:pStyle w:val="Normal"/>
        <w:numPr>
          <w:ilvl w:val="4"/>
          <w:numId w:val="4"/>
        </w:numPr>
        <w:jc w:val="left"/>
        <w:rPr/>
      </w:pPr>
      <w:r>
        <w:rPr>
          <w:rFonts w:ascii="Times New Roman" w:hAnsi="Times New Roman"/>
          <w:u w:val="none"/>
        </w:rPr>
        <w:t>e.g., “This is also considered best for use with members of racial/ethnic minority groups, who do not receive the same financial gains for equivalent years of education as do Whites”</w:t>
      </w:r>
    </w:p>
    <w:p>
      <w:pPr>
        <w:pStyle w:val="Normal"/>
        <w:numPr>
          <w:ilvl w:val="3"/>
          <w:numId w:val="4"/>
        </w:numPr>
        <w:jc w:val="left"/>
        <w:rPr/>
      </w:pPr>
      <w:r>
        <w:rPr>
          <w:rFonts w:ascii="Times New Roman" w:hAnsi="Times New Roman"/>
          <w:u w:val="none"/>
        </w:rPr>
        <w:t>“</w:t>
      </w:r>
      <w:r>
        <w:rPr>
          <w:rFonts w:ascii="Times New Roman" w:hAnsi="Times New Roman"/>
          <w:u w:val="none"/>
        </w:rPr>
        <w:t>Dataset provided” = Operationalization of SES was predetermined and given in the dataset used in t</w:t>
      </w:r>
      <w:r>
        <w:rPr>
          <w:rFonts w:ascii="Times New Roman" w:hAnsi="Times New Roman"/>
          <w:sz w:val="24"/>
          <w:szCs w:val="24"/>
          <w:u w:val="none"/>
        </w:rPr>
        <w:t>he study</w:t>
      </w:r>
    </w:p>
    <w:p>
      <w:pPr>
        <w:pStyle w:val="Normal"/>
        <w:numPr>
          <w:ilvl w:val="4"/>
          <w:numId w:val="4"/>
        </w:numPr>
        <w:jc w:val="left"/>
        <w:rPr/>
      </w:pPr>
      <w:r>
        <w:rPr>
          <w:rFonts w:ascii="Times New Roman" w:hAnsi="Times New Roman"/>
          <w:sz w:val="24"/>
          <w:szCs w:val="24"/>
          <w:u w:val="none"/>
        </w:rPr>
        <w:t>e.g., “The ECLS-K data set provides a continuous SES variable,which was utilized for our analyses.”</w:t>
      </w:r>
    </w:p>
    <w:p>
      <w:pPr>
        <w:pStyle w:val="Normal"/>
        <w:numPr>
          <w:ilvl w:val="3"/>
          <w:numId w:val="4"/>
        </w:numPr>
        <w:jc w:val="left"/>
        <w:rPr/>
      </w:pPr>
      <w:r>
        <w:rPr>
          <w:rFonts w:ascii="Times New Roman" w:hAnsi="Times New Roman"/>
          <w:sz w:val="24"/>
          <w:szCs w:val="24"/>
          <w:u w:val="none"/>
        </w:rPr>
        <w:t>“</w:t>
      </w:r>
      <w:r>
        <w:rPr>
          <w:rFonts w:ascii="Times New Roman" w:hAnsi="Times New Roman"/>
          <w:sz w:val="24"/>
          <w:szCs w:val="24"/>
          <w:u w:val="none"/>
        </w:rPr>
        <w:t>Temporal stability” = Operationalization of SES chosen because of temporal stability (or instability) of indicators</w:t>
      </w:r>
    </w:p>
    <w:p>
      <w:pPr>
        <w:pStyle w:val="Normal"/>
        <w:numPr>
          <w:ilvl w:val="4"/>
          <w:numId w:val="4"/>
        </w:numPr>
        <w:jc w:val="left"/>
        <w:rPr/>
      </w:pPr>
      <w:r>
        <w:rPr>
          <w:rFonts w:ascii="Times New Roman" w:hAnsi="Times New Roman"/>
          <w:sz w:val="24"/>
          <w:szCs w:val="24"/>
          <w:u w:val="none"/>
        </w:rPr>
        <w:t xml:space="preserve">e.g., </w:t>
      </w:r>
      <w:r>
        <w:rPr>
          <w:rFonts w:ascii="Times New Roman" w:hAnsi="Times New Roman"/>
          <w:sz w:val="24"/>
          <w:szCs w:val="24"/>
          <w:u w:val="none"/>
        </w:rPr>
        <w:t>“</w:t>
      </w:r>
      <w:r>
        <w:rPr>
          <w:rFonts w:ascii="Times New Roman" w:hAnsi="Times New Roman"/>
          <w:sz w:val="24"/>
          <w:szCs w:val="24"/>
          <w:u w:val="none"/>
        </w:rPr>
        <w:t>SES variables wereselected based on their relative stability overtime and specific relation to health disparityintervention research (Shavers, 2007).</w:t>
      </w:r>
      <w:r>
        <w:rPr>
          <w:rFonts w:ascii="Times New Roman" w:hAnsi="Times New Roman"/>
          <w:sz w:val="24"/>
          <w:szCs w:val="24"/>
          <w:u w:val="none"/>
        </w:rPr>
        <w:t>”</w:t>
      </w:r>
    </w:p>
    <w:p>
      <w:pPr>
        <w:pStyle w:val="Normal"/>
        <w:numPr>
          <w:ilvl w:val="3"/>
          <w:numId w:val="4"/>
        </w:numPr>
        <w:jc w:val="left"/>
        <w:rPr/>
      </w:pPr>
      <w:r>
        <w:rPr>
          <w:rFonts w:ascii="Times New Roman" w:hAnsi="Times New Roman"/>
          <w:sz w:val="24"/>
          <w:szCs w:val="24"/>
          <w:u w:val="none"/>
        </w:rPr>
        <w:t>“</w:t>
      </w:r>
      <w:r>
        <w:rPr>
          <w:rFonts w:ascii="Times New Roman" w:hAnsi="Times New Roman"/>
          <w:sz w:val="24"/>
          <w:szCs w:val="24"/>
          <w:u w:val="none"/>
        </w:rPr>
        <w:t>Presumed relation” = Operationalization of SES chosen because indicators thought to relate to outcome</w:t>
      </w:r>
    </w:p>
    <w:p>
      <w:pPr>
        <w:pStyle w:val="Normal"/>
        <w:numPr>
          <w:ilvl w:val="4"/>
          <w:numId w:val="4"/>
        </w:numPr>
        <w:jc w:val="left"/>
        <w:rPr/>
      </w:pPr>
      <w:r>
        <w:rPr>
          <w:rFonts w:ascii="Times New Roman" w:hAnsi="Times New Roman"/>
          <w:sz w:val="24"/>
          <w:szCs w:val="24"/>
          <w:u w:val="none"/>
        </w:rPr>
        <w:t>e.g., “</w:t>
      </w:r>
      <w:r>
        <w:rPr>
          <w:rFonts w:ascii="Times New Roman" w:hAnsi="Times New Roman"/>
          <w:sz w:val="24"/>
          <w:szCs w:val="24"/>
          <w:u w:val="none"/>
        </w:rPr>
        <w:t>The relatively stable contextual factors of family-of-origin SES (education and occupation) and income were tested because they were hypothesized to relate to ongoing developmental contextual risk for the youth.”</w:t>
      </w:r>
    </w:p>
    <w:p>
      <w:pPr>
        <w:pStyle w:val="Normal"/>
        <w:numPr>
          <w:ilvl w:val="2"/>
          <w:numId w:val="4"/>
        </w:numPr>
        <w:jc w:val="left"/>
        <w:rPr/>
      </w:pPr>
      <w:r>
        <w:rPr>
          <w:rFonts w:ascii="Times New Roman" w:hAnsi="Times New Roman"/>
          <w:u w:val="none"/>
        </w:rPr>
        <w:t>From data (modeling procedures):</w:t>
      </w:r>
    </w:p>
    <w:p>
      <w:pPr>
        <w:pStyle w:val="Normal"/>
        <w:numPr>
          <w:ilvl w:val="3"/>
          <w:numId w:val="4"/>
        </w:numPr>
        <w:jc w:val="left"/>
        <w:rPr/>
      </w:pPr>
      <w:r>
        <w:rPr>
          <w:rFonts w:ascii="Times New Roman" w:hAnsi="Times New Roman"/>
          <w:u w:val="none"/>
        </w:rPr>
        <w:t>“</w:t>
      </w:r>
      <w:r>
        <w:rPr>
          <w:rFonts w:ascii="Times New Roman" w:hAnsi="Times New Roman"/>
          <w:u w:val="none"/>
        </w:rPr>
        <w:t>Sample size” = Operationalization [modeling procedure] of SES particularly appropriate for the sample size of the study</w:t>
      </w:r>
    </w:p>
    <w:p>
      <w:pPr>
        <w:pStyle w:val="Normal"/>
        <w:numPr>
          <w:ilvl w:val="4"/>
          <w:numId w:val="4"/>
        </w:numPr>
        <w:jc w:val="left"/>
        <w:rPr/>
      </w:pPr>
      <w:r>
        <w:rPr>
          <w:rFonts w:ascii="Times New Roman" w:hAnsi="Times New Roman"/>
          <w:u w:val="none"/>
        </w:rPr>
        <w:t>e.g., “Partial least squares modeling isideal for examining all of the possible associations between thevariables of interest as it can be used with small data sets and isrecommended for exploratory purposes, as it does not have thestrict measurement and distributional requirements of other mod-eling procedure”</w:t>
      </w:r>
    </w:p>
    <w:p>
      <w:pPr>
        <w:pStyle w:val="Normal"/>
        <w:numPr>
          <w:ilvl w:val="3"/>
          <w:numId w:val="4"/>
        </w:numPr>
        <w:jc w:val="left"/>
        <w:rPr/>
      </w:pPr>
      <w:r>
        <w:rPr>
          <w:rFonts w:ascii="Times New Roman" w:hAnsi="Times New Roman"/>
          <w:u w:val="none"/>
        </w:rPr>
        <w:t>“</w:t>
      </w:r>
      <w:r>
        <w:rPr>
          <w:rFonts w:ascii="Times New Roman" w:hAnsi="Times New Roman"/>
          <w:u w:val="none"/>
        </w:rPr>
        <w:t>Noninterchangeable” = Operationalization [modeling procedure] of SES designed to address non-equivalence of indicators of SES</w:t>
      </w:r>
    </w:p>
    <w:p>
      <w:pPr>
        <w:pStyle w:val="Normal"/>
        <w:numPr>
          <w:ilvl w:val="4"/>
          <w:numId w:val="4"/>
        </w:numPr>
        <w:jc w:val="left"/>
        <w:rPr/>
      </w:pPr>
      <w:r>
        <w:rPr>
          <w:rFonts w:ascii="Times New Roman" w:hAnsi="Times New Roman"/>
          <w:u w:val="none"/>
        </w:rPr>
        <w:t>e.g., “Though related, indicators of SES are notinterchangeable, as each may affect disease risk in different ways(Braveman et al., 2005), and therefore may have different inter-vention implications.”</w:t>
      </w:r>
    </w:p>
    <w:p>
      <w:pPr>
        <w:pStyle w:val="Normal"/>
        <w:numPr>
          <w:ilvl w:val="3"/>
          <w:numId w:val="4"/>
        </w:numPr>
        <w:jc w:val="left"/>
        <w:rPr/>
      </w:pPr>
      <w:r>
        <w:rPr>
          <w:rFonts w:ascii="Times New Roman" w:hAnsi="Times New Roman"/>
          <w:u w:val="none"/>
        </w:rPr>
        <w:t>“</w:t>
      </w:r>
      <w:r>
        <w:rPr>
          <w:rFonts w:ascii="Times New Roman" w:hAnsi="Times New Roman"/>
          <w:u w:val="none"/>
        </w:rPr>
        <w:t>Reduce measurement error” = Operationalization of SES intended to reduce measurement error that impacts alternative operationalizations [modeling procedures]</w:t>
      </w:r>
    </w:p>
    <w:p>
      <w:pPr>
        <w:pStyle w:val="Normal"/>
        <w:numPr>
          <w:ilvl w:val="4"/>
          <w:numId w:val="4"/>
        </w:numPr>
        <w:jc w:val="left"/>
        <w:rPr/>
      </w:pPr>
      <w:r>
        <w:rPr>
          <w:rFonts w:ascii="Times New Roman" w:hAnsi="Times New Roman"/>
          <w:u w:val="none"/>
        </w:rPr>
        <w:t>e.g., “SEM allows the simultaneous test of a hypothesized structure of relationships among variables of interest as well an inclusive test of the measurement model of the latent or unobserved variables (i.e., SES, mental illness). When this is not done, measurement error in the composite variables is ignored.”</w:t>
      </w:r>
    </w:p>
    <w:p>
      <w:pPr>
        <w:pStyle w:val="Normal"/>
        <w:numPr>
          <w:ilvl w:val="3"/>
          <w:numId w:val="4"/>
        </w:numPr>
        <w:jc w:val="left"/>
        <w:rPr>
          <w:b w:val="false"/>
          <w:b w:val="false"/>
          <w:bCs w:val="false"/>
        </w:rPr>
      </w:pPr>
      <w:r>
        <w:rPr>
          <w:rFonts w:ascii="Times New Roman" w:hAnsi="Times New Roman"/>
          <w:b w:val="false"/>
          <w:bCs w:val="false"/>
          <w:u w:val="none"/>
        </w:rPr>
        <w:t>“</w:t>
      </w:r>
      <w:r>
        <w:rPr>
          <w:rFonts w:ascii="Times New Roman" w:hAnsi="Times New Roman"/>
          <w:b w:val="false"/>
          <w:bCs w:val="false"/>
          <w:u w:val="none"/>
        </w:rPr>
        <w:t xml:space="preserve">Prior work” = prior research used same operationalization </w:t>
      </w:r>
      <w:r>
        <w:rPr>
          <w:rFonts w:ascii="Times New Roman" w:hAnsi="Times New Roman"/>
          <w:b w:val="false"/>
          <w:bCs w:val="false"/>
          <w:u w:val="none"/>
        </w:rPr>
        <w:t>[modeling procedure]</w:t>
      </w:r>
      <w:r>
        <w:rPr>
          <w:rFonts w:ascii="Times New Roman" w:hAnsi="Times New Roman"/>
          <w:b w:val="false"/>
          <w:bCs w:val="false"/>
          <w:u w:val="none"/>
        </w:rPr>
        <w:t>, but no stated relevance of operationalization to current study</w:t>
      </w:r>
    </w:p>
    <w:p>
      <w:pPr>
        <w:pStyle w:val="Normal"/>
        <w:numPr>
          <w:ilvl w:val="4"/>
          <w:numId w:val="4"/>
        </w:numPr>
        <w:jc w:val="left"/>
        <w:rPr>
          <w:b w:val="false"/>
          <w:b w:val="false"/>
          <w:bCs w:val="false"/>
        </w:rPr>
      </w:pPr>
      <w:r>
        <w:rPr>
          <w:rFonts w:ascii="Times New Roman" w:hAnsi="Times New Roman"/>
          <w:b w:val="false"/>
          <w:bCs w:val="false"/>
          <w:u w:val="none"/>
        </w:rPr>
        <w:t xml:space="preserve">e.g., </w:t>
      </w:r>
      <w:r>
        <w:rPr>
          <w:rFonts w:ascii="Times New Roman" w:hAnsi="Times New Roman"/>
          <w:b w:val="false"/>
          <w:bCs w:val="false"/>
          <w:sz w:val="24"/>
          <w:szCs w:val="24"/>
          <w:u w:val="none"/>
        </w:rPr>
        <w:t>“</w:t>
      </w:r>
      <w:r>
        <w:rPr>
          <w:rFonts w:ascii="Times New Roman" w:hAnsi="Times New Roman"/>
          <w:b w:val="false"/>
          <w:bCs w:val="false"/>
          <w:sz w:val="24"/>
          <w:szCs w:val="24"/>
          <w:u w:val="none"/>
        </w:rPr>
        <w:t>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w:t>
      </w:r>
    </w:p>
    <w:p>
      <w:pPr>
        <w:pStyle w:val="Normal"/>
        <w:numPr>
          <w:ilvl w:val="3"/>
          <w:numId w:val="4"/>
        </w:numPr>
        <w:jc w:val="left"/>
        <w:rPr>
          <w:b w:val="false"/>
          <w:b w:val="false"/>
          <w:bCs w:val="false"/>
        </w:rPr>
      </w:pPr>
      <w:r>
        <w:rPr>
          <w:rFonts w:ascii="Times New Roman" w:hAnsi="Times New Roman"/>
          <w:b w:val="false"/>
          <w:bCs w:val="false"/>
          <w:sz w:val="24"/>
          <w:szCs w:val="24"/>
          <w:u w:val="none"/>
        </w:rPr>
        <w:t>“</w:t>
      </w:r>
      <w:r>
        <w:rPr>
          <w:rFonts w:ascii="Times New Roman" w:hAnsi="Times New Roman"/>
          <w:b w:val="false"/>
          <w:bCs w:val="false"/>
          <w:sz w:val="24"/>
          <w:szCs w:val="24"/>
          <w:u w:val="none"/>
        </w:rPr>
        <w:t>Correlated” = Modeling procedure chosen because indicators of SES were correlated (or not)</w:t>
      </w:r>
    </w:p>
    <w:p>
      <w:pPr>
        <w:pStyle w:val="Normal"/>
        <w:numPr>
          <w:ilvl w:val="4"/>
          <w:numId w:val="4"/>
        </w:numPr>
        <w:jc w:val="left"/>
        <w:rPr>
          <w:b w:val="false"/>
          <w:b w:val="false"/>
          <w:bCs w:val="false"/>
        </w:rPr>
      </w:pPr>
      <w:r>
        <w:rPr>
          <w:rFonts w:ascii="Times New Roman" w:hAnsi="Times New Roman"/>
          <w:b w:val="false"/>
          <w:bCs w:val="false"/>
          <w:sz w:val="24"/>
          <w:szCs w:val="24"/>
          <w:u w:val="none"/>
        </w:rPr>
        <w:t>e.g., “Family income and SES weresignificantly associated (r</w:t>
        <w:t>.41,p.01) and therefore were combined bytaking the mean of their standardized scores to arrive at a global measureof SES/income over Study Years 3, 5, and 7.”</w:t>
      </w:r>
    </w:p>
    <w:p>
      <w:pPr>
        <w:pStyle w:val="Normal"/>
        <w:numPr>
          <w:ilvl w:val="3"/>
          <w:numId w:val="4"/>
        </w:numPr>
        <w:jc w:val="left"/>
        <w:rPr>
          <w:b w:val="false"/>
          <w:b w:val="false"/>
          <w:bCs w:val="false"/>
        </w:rPr>
      </w:pPr>
      <w:r>
        <w:rPr>
          <w:rFonts w:ascii="Times New Roman" w:hAnsi="Times New Roman"/>
          <w:b w:val="false"/>
          <w:bCs w:val="false"/>
          <w:sz w:val="24"/>
          <w:szCs w:val="24"/>
          <w:u w:val="none"/>
        </w:rPr>
        <w:t>“</w:t>
      </w:r>
      <w:r>
        <w:rPr>
          <w:rFonts w:ascii="Times New Roman" w:hAnsi="Times New Roman"/>
          <w:b w:val="false"/>
          <w:bCs w:val="false"/>
          <w:sz w:val="24"/>
          <w:szCs w:val="24"/>
          <w:u w:val="none"/>
        </w:rPr>
        <w:t>Distinct pathways” = Modeling procedure chosen because indicators SES thought to reflect different mechanisms through which SES relates to the outcome</w:t>
      </w:r>
    </w:p>
    <w:p>
      <w:pPr>
        <w:pStyle w:val="Normal"/>
        <w:numPr>
          <w:ilvl w:val="4"/>
          <w:numId w:val="4"/>
        </w:numPr>
        <w:jc w:val="left"/>
        <w:rPr/>
      </w:pPr>
      <w:r>
        <w:rPr>
          <w:rFonts w:ascii="Times New Roman" w:hAnsi="Times New Roman"/>
          <w:b w:val="false"/>
          <w:bCs w:val="false"/>
          <w:sz w:val="24"/>
          <w:szCs w:val="24"/>
          <w:u w:val="none"/>
        </w:rPr>
        <w:t>e.g., “</w:t>
      </w:r>
      <w:r>
        <w:rPr>
          <w:rFonts w:ascii="Times New Roman" w:hAnsi="Times New Roman"/>
          <w:sz w:val="24"/>
          <w:szCs w:val="24"/>
          <w:u w:val="none"/>
        </w:rPr>
        <w:t>One of the several pathways through which SES ultimately affects health outcomes is through education’s effect on ability to understand and act upon health communications (Link &amp; Phelan, 1995; Smith et al., 2012; Viswanath et al., 2006; Viswanath &amp; Finnegan, 1996). Second, there are a number of plausible ways in which SES might shift individuals’ beliefs about cancer and screening. Moreover, lower SES is associated with poorer knowledge about screening procedures (King-Marshall et al., 2016). In addition, SES may affect perceptions of barriers to screening and efficacy for screening since factors such as cost, insurance coverage, and ability to take time off work can serve as both real and perceived barriers to screening uptake (James et al., 2008).</w:t>
      </w:r>
      <w:r>
        <w:rPr>
          <w:rFonts w:ascii="Times New Roman" w:hAnsi="Times New Roman"/>
          <w:b w:val="false"/>
          <w:bCs w:val="false"/>
          <w:sz w:val="24"/>
          <w:szCs w:val="24"/>
          <w:u w:val="none"/>
        </w:rPr>
        <w:t>”</w:t>
      </w:r>
    </w:p>
    <w:p>
      <w:pPr>
        <w:pStyle w:val="Normal"/>
        <w:jc w:val="left"/>
        <w:rPr>
          <w:rFonts w:ascii="Times New Roman" w:hAnsi="Times New Roman"/>
          <w:u w:val="none"/>
        </w:rPr>
      </w:pPr>
      <w:r>
        <w:rPr>
          <w:rFonts w:ascii="Times New Roman" w:hAnsi="Times New Roman"/>
          <w:u w:val="none"/>
        </w:rPr>
        <w:t>Protocol for writing codes:</w:t>
      </w:r>
    </w:p>
    <w:p>
      <w:pPr>
        <w:pStyle w:val="Normal"/>
        <w:numPr>
          <w:ilvl w:val="0"/>
          <w:numId w:val="6"/>
        </w:numPr>
        <w:jc w:val="left"/>
        <w:rPr/>
      </w:pPr>
      <w:r>
        <w:rPr>
          <w:rFonts w:ascii="Times New Roman" w:hAnsi="Times New Roman"/>
          <w:u w:val="none"/>
        </w:rPr>
        <w:t>No abbreviations or conjunctions other than SES (i.e., write “did not”, not “don’t”)</w:t>
      </w:r>
    </w:p>
    <w:p>
      <w:pPr>
        <w:pStyle w:val="Normal"/>
        <w:numPr>
          <w:ilvl w:val="0"/>
          <w:numId w:val="6"/>
        </w:numPr>
        <w:jc w:val="left"/>
        <w:rPr/>
      </w:pPr>
      <w:r>
        <w:rPr>
          <w:rFonts w:ascii="Times New Roman" w:hAnsi="Times New Roman"/>
          <w:u w:val="none"/>
        </w:rPr>
        <w:t>Capitalize the first letter of each code</w:t>
      </w:r>
    </w:p>
    <w:p>
      <w:pPr>
        <w:pStyle w:val="Normal"/>
        <w:numPr>
          <w:ilvl w:val="0"/>
          <w:numId w:val="6"/>
        </w:numPr>
        <w:jc w:val="left"/>
        <w:rPr>
          <w:rFonts w:ascii="Times New Roman" w:hAnsi="Times New Roman"/>
          <w:u w:val="none"/>
        </w:rPr>
      </w:pPr>
      <w:r>
        <w:rPr>
          <w:rFonts w:ascii="Times New Roman" w:hAnsi="Times New Roman"/>
          <w:u w:val="none"/>
        </w:rPr>
        <w:t>Use spaces to separate words</w:t>
      </w:r>
    </w:p>
    <w:p>
      <w:pPr>
        <w:pStyle w:val="Normal"/>
        <w:numPr>
          <w:ilvl w:val="0"/>
          <w:numId w:val="6"/>
        </w:numPr>
        <w:jc w:val="left"/>
        <w:rPr>
          <w:rFonts w:ascii="Times New Roman" w:hAnsi="Times New Roman"/>
          <w:u w:val="none"/>
        </w:rPr>
      </w:pPr>
      <w:r>
        <w:rPr>
          <w:rFonts w:ascii="Times New Roman" w:hAnsi="Times New Roman"/>
          <w:u w:val="none"/>
        </w:rPr>
        <w:t>Structure rules:</w:t>
      </w:r>
    </w:p>
    <w:p>
      <w:pPr>
        <w:pStyle w:val="Normal"/>
        <w:numPr>
          <w:ilvl w:val="1"/>
          <w:numId w:val="6"/>
        </w:numPr>
        <w:jc w:val="left"/>
        <w:rPr>
          <w:rFonts w:ascii="Times New Roman" w:hAnsi="Times New Roman"/>
          <w:u w:val="none"/>
        </w:rPr>
      </w:pPr>
      <w:r>
        <w:rPr>
          <w:rFonts w:ascii="Times New Roman" w:hAnsi="Times New Roman"/>
          <w:u w:val="none"/>
        </w:rPr>
        <w:t>Each code contains two halves, separated by an underscore (“_”):</w:t>
      </w:r>
    </w:p>
    <w:p>
      <w:pPr>
        <w:pStyle w:val="Normal"/>
        <w:numPr>
          <w:ilvl w:val="2"/>
          <w:numId w:val="6"/>
        </w:numPr>
        <w:jc w:val="left"/>
        <w:rPr>
          <w:rFonts w:ascii="Times New Roman" w:hAnsi="Times New Roman"/>
          <w:u w:val="none"/>
        </w:rPr>
      </w:pPr>
      <w:r>
        <w:rPr>
          <w:rFonts w:ascii="Times New Roman" w:hAnsi="Times New Roman"/>
          <w:u w:val="none"/>
        </w:rPr>
        <w:t>Half 1 = Reason for indicators</w:t>
      </w:r>
    </w:p>
    <w:p>
      <w:pPr>
        <w:pStyle w:val="Normal"/>
        <w:numPr>
          <w:ilvl w:val="2"/>
          <w:numId w:val="6"/>
        </w:numPr>
        <w:jc w:val="left"/>
        <w:rPr>
          <w:rFonts w:ascii="Times New Roman" w:hAnsi="Times New Roman"/>
          <w:u w:val="none"/>
        </w:rPr>
      </w:pPr>
      <w:r>
        <w:rPr>
          <w:rFonts w:ascii="Times New Roman" w:hAnsi="Times New Roman"/>
          <w:u w:val="none"/>
        </w:rPr>
        <w:t>Half 2 = Reason for modeling procedure</w:t>
      </w:r>
    </w:p>
    <w:p>
      <w:pPr>
        <w:pStyle w:val="Normal"/>
        <w:numPr>
          <w:ilvl w:val="1"/>
          <w:numId w:val="6"/>
        </w:numPr>
        <w:jc w:val="left"/>
        <w:rPr>
          <w:rFonts w:ascii="Times New Roman" w:hAnsi="Times New Roman"/>
          <w:u w:val="none"/>
        </w:rPr>
      </w:pPr>
      <w:r>
        <w:rPr>
          <w:rFonts w:ascii="Times New Roman" w:hAnsi="Times New Roman"/>
          <w:u w:val="none"/>
        </w:rPr>
        <w:t>Within each half, different reasons are separated by a hyphen (“-”)</w:t>
      </w:r>
    </w:p>
    <w:p>
      <w:pPr>
        <w:pStyle w:val="Normal"/>
        <w:numPr>
          <w:ilvl w:val="2"/>
          <w:numId w:val="6"/>
        </w:numPr>
        <w:jc w:val="left"/>
        <w:rPr>
          <w:rFonts w:ascii="Times New Roman" w:hAnsi="Times New Roman"/>
          <w:u w:val="none"/>
        </w:rPr>
      </w:pPr>
      <w:r>
        <w:rPr>
          <w:rFonts w:ascii="Times New Roman" w:hAnsi="Times New Roman"/>
          <w:u w:val="none"/>
        </w:rPr>
        <w:t>e.g., “Prior work-Parallel forms_None given” indicates that a paper cited prior work using the same indicators and that the indicators correlate with other operationalizations of SES but provided no reason for the modeling procedure used</w:t>
      </w:r>
    </w:p>
    <w:p>
      <w:pPr>
        <w:pStyle w:val="Normal"/>
        <w:numPr>
          <w:ilvl w:val="2"/>
          <w:numId w:val="6"/>
        </w:numPr>
        <w:jc w:val="left"/>
        <w:rPr>
          <w:rFonts w:ascii="Times New Roman" w:hAnsi="Times New Roman"/>
          <w:u w:val="none"/>
        </w:rPr>
      </w:pPr>
      <w:r>
        <w:rPr>
          <w:rFonts w:ascii="Times New Roman" w:hAnsi="Times New Roman"/>
          <w:u w:val="none"/>
        </w:rPr>
        <w:t>e.g., “None given_None given” indicates that a paper gave no reasons for its choice of indicators or modeling procedure</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ascii="Times New Roman" w:hAnsi="Times New Roman"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ascii="Times New Roman" w:hAnsi="Times New Roman" w:cs="OpenSymbol"/>
    </w:rPr>
  </w:style>
  <w:style w:type="character" w:styleId="ListLabel23">
    <w:name w:val="ListLabel 23"/>
    <w:qFormat/>
    <w:rPr>
      <w:rFonts w:ascii="Times New Roman" w:hAnsi="Times New Roman"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New Roman" w:hAnsi="Times New Roman" w:cs="OpenSymbol"/>
    </w:rPr>
  </w:style>
  <w:style w:type="character" w:styleId="ListLabel48">
    <w:name w:val="ListLabel 48"/>
    <w:qFormat/>
    <w:rPr>
      <w:rFonts w:ascii="Times New Roman" w:hAnsi="Times New Roman"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rPr>
  </w:style>
  <w:style w:type="character" w:styleId="ListLabel57">
    <w:name w:val="ListLabel 57"/>
    <w:qFormat/>
    <w:rPr>
      <w:rFonts w:ascii="Times New Roman" w:hAnsi="Times New Roman" w:cs="OpenSymbol"/>
    </w:rPr>
  </w:style>
  <w:style w:type="character" w:styleId="ListLabel58">
    <w:name w:val="ListLabel 58"/>
    <w:qFormat/>
    <w:rPr>
      <w:rFonts w:ascii="Times New Roman" w:hAnsi="Times New Roman" w:cs="OpenSymbol"/>
    </w:rPr>
  </w:style>
  <w:style w:type="character" w:styleId="ListLabel59">
    <w:name w:val="ListLabel 59"/>
    <w:qFormat/>
    <w:rPr>
      <w:rFonts w:ascii="Times New Roman" w:hAnsi="Times New Roman"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rPr>
  </w:style>
  <w:style w:type="character" w:styleId="ListLabel66">
    <w:name w:val="ListLabel 66"/>
    <w:qFormat/>
    <w:rPr>
      <w:rFonts w:ascii="Times New Roman" w:hAnsi="Times New Roman"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rPr>
  </w:style>
  <w:style w:type="character" w:styleId="ListLabel75">
    <w:name w:val="ListLabel 75"/>
    <w:qFormat/>
    <w:rPr>
      <w:rFonts w:ascii="Times New Roman" w:hAnsi="Times New Roman"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OpenSymbol"/>
    </w:rPr>
  </w:style>
  <w:style w:type="character" w:styleId="ListLabel84">
    <w:name w:val="ListLabel 84"/>
    <w:qFormat/>
    <w:rPr>
      <w:rFonts w:ascii="Times New Roman" w:hAnsi="Times New Roman"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Times New Roman" w:hAnsi="Times New Roman" w:cs="OpenSymbol"/>
    </w:rPr>
  </w:style>
  <w:style w:type="character" w:styleId="ListLabel93">
    <w:name w:val="ListLabel 93"/>
    <w:qFormat/>
    <w:rPr>
      <w:rFonts w:ascii="Times New Roman" w:hAnsi="Times New Roman" w:cs="OpenSymbol"/>
    </w:rPr>
  </w:style>
  <w:style w:type="character" w:styleId="ListLabel94">
    <w:name w:val="ListLabel 94"/>
    <w:qFormat/>
    <w:rPr>
      <w:rFonts w:ascii="Times New Roman" w:hAnsi="Times New Roman" w:cs="OpenSymbol"/>
    </w:rPr>
  </w:style>
  <w:style w:type="character" w:styleId="ListLabel95">
    <w:name w:val="ListLabel 95"/>
    <w:qFormat/>
    <w:rPr>
      <w:rFonts w:ascii="Times New Roman" w:hAnsi="Times New Roman"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rPr>
  </w:style>
  <w:style w:type="character" w:styleId="ListLabel102">
    <w:name w:val="ListLabel 102"/>
    <w:qFormat/>
    <w:rPr>
      <w:rFonts w:ascii="Times New Roman" w:hAnsi="Times New Roman"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OpenSymbol"/>
    </w:rPr>
  </w:style>
  <w:style w:type="character" w:styleId="ListLabel111">
    <w:name w:val="ListLabel 111"/>
    <w:qFormat/>
    <w:rPr>
      <w:rFonts w:ascii="Times New Roman" w:hAnsi="Times New Roman"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OpenSymbol"/>
    </w:rPr>
  </w:style>
  <w:style w:type="character" w:styleId="ListLabel120">
    <w:name w:val="ListLabel 120"/>
    <w:qFormat/>
    <w:rPr>
      <w:rFonts w:ascii="Times New Roman" w:hAnsi="Times New Roman"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ascii="Times New Roman" w:hAnsi="Times New Roman" w:cs="OpenSymbol"/>
    </w:rPr>
  </w:style>
  <w:style w:type="character" w:styleId="ListLabel130">
    <w:name w:val="ListLabel 130"/>
    <w:qFormat/>
    <w:rPr>
      <w:rFonts w:ascii="Times New Roman" w:hAnsi="Times New Roman" w:cs="OpenSymbol"/>
    </w:rPr>
  </w:style>
  <w:style w:type="character" w:styleId="ListLabel131">
    <w:name w:val="ListLabel 131"/>
    <w:qFormat/>
    <w:rPr>
      <w:rFonts w:ascii="Times New Roman" w:hAnsi="Times New Roman"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ascii="Times New Roman" w:hAnsi="Times New Roman" w:cs="OpenSymbol"/>
    </w:rPr>
  </w:style>
  <w:style w:type="character" w:styleId="ListLabel138">
    <w:name w:val="ListLabel 138"/>
    <w:qFormat/>
    <w:rPr>
      <w:rFonts w:ascii="Times New Roman" w:hAnsi="Times New Roman"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rPr>
  </w:style>
  <w:style w:type="character" w:styleId="ListLabel147">
    <w:name w:val="ListLabel 147"/>
    <w:qFormat/>
    <w:rPr>
      <w:rFonts w:ascii="Times New Roman" w:hAnsi="Times New Roman"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ascii="Times New Roman" w:hAnsi="Times New Roman"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Times New Roman" w:hAnsi="Times New Roman" w:cs="OpenSymbol"/>
    </w:rPr>
  </w:style>
  <w:style w:type="character" w:styleId="ListLabel165">
    <w:name w:val="ListLabel 165"/>
    <w:qFormat/>
    <w:rPr>
      <w:rFonts w:ascii="Times New Roman" w:hAnsi="Times New Roman" w:cs="OpenSymbol"/>
    </w:rPr>
  </w:style>
  <w:style w:type="character" w:styleId="ListLabel166">
    <w:name w:val="ListLabel 166"/>
    <w:qFormat/>
    <w:rPr>
      <w:rFonts w:ascii="Times New Roman" w:hAnsi="Times New Roman" w:cs="OpenSymbol"/>
    </w:rPr>
  </w:style>
  <w:style w:type="character" w:styleId="ListLabel167">
    <w:name w:val="ListLabel 167"/>
    <w:qFormat/>
    <w:rPr>
      <w:rFonts w:ascii="Times New Roman" w:hAnsi="Times New Roman"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ascii="Times New Roman" w:hAnsi="Times New Roman" w:cs="OpenSymbol"/>
    </w:rPr>
  </w:style>
  <w:style w:type="character" w:styleId="ListLabel174">
    <w:name w:val="ListLabel 174"/>
    <w:qFormat/>
    <w:rPr>
      <w:rFonts w:ascii="Times New Roman" w:hAnsi="Times New Roman"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ascii="Times New Roman" w:hAnsi="Times New Roman"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ascii="Times New Roman" w:hAnsi="Times New Roman"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imes New Roman" w:hAnsi="Times New Roman" w:cs="OpenSymbol"/>
    </w:rPr>
  </w:style>
  <w:style w:type="character" w:styleId="ListLabel201">
    <w:name w:val="ListLabel 201"/>
    <w:qFormat/>
    <w:rPr>
      <w:rFonts w:ascii="Times New Roman" w:hAnsi="Times New Roman" w:cs="OpenSymbol"/>
    </w:rPr>
  </w:style>
  <w:style w:type="character" w:styleId="ListLabel202">
    <w:name w:val="ListLabel 202"/>
    <w:qFormat/>
    <w:rPr>
      <w:rFonts w:ascii="Times New Roman" w:hAnsi="Times New Roman" w:cs="OpenSymbol"/>
    </w:rPr>
  </w:style>
  <w:style w:type="character" w:styleId="ListLabel203">
    <w:name w:val="ListLabel 203"/>
    <w:qFormat/>
    <w:rPr>
      <w:rFonts w:ascii="Times New Roman" w:hAnsi="Times New Roman"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ascii="Times New Roman" w:hAnsi="Times New Roman" w:cs="OpenSymbol"/>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rPr>
  </w:style>
  <w:style w:type="character" w:styleId="ListLabel219">
    <w:name w:val="ListLabel 219"/>
    <w:qFormat/>
    <w:rPr>
      <w:rFonts w:ascii="Times New Roman" w:hAnsi="Times New Roman"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Times New Roman" w:hAnsi="Times New Roman" w:cs="OpenSymbol"/>
    </w:rPr>
  </w:style>
  <w:style w:type="character" w:styleId="ListLabel228">
    <w:name w:val="ListLabel 228"/>
    <w:qFormat/>
    <w:rPr>
      <w:rFonts w:ascii="Times New Roman" w:hAnsi="Times New Roman"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Times New Roman" w:hAnsi="Times New Roman" w:cs="OpenSymbol"/>
      <w:b/>
    </w:rPr>
  </w:style>
  <w:style w:type="character" w:styleId="ListLabel238">
    <w:name w:val="ListLabel 238"/>
    <w:qFormat/>
    <w:rPr>
      <w:rFonts w:ascii="Times New Roman" w:hAnsi="Times New Roman" w:cs="OpenSymbol"/>
    </w:rPr>
  </w:style>
  <w:style w:type="character" w:styleId="ListLabel239">
    <w:name w:val="ListLabel 239"/>
    <w:qFormat/>
    <w:rPr>
      <w:rFonts w:ascii="Times New Roman" w:hAnsi="Times New Roman" w:cs="OpenSymbol"/>
      <w:sz w:val="24"/>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rPr>
  </w:style>
  <w:style w:type="character" w:styleId="ListLabel254">
    <w:name w:val="ListLabel 254"/>
    <w:qFormat/>
    <w:rPr>
      <w:rFonts w:ascii="Times New Roman" w:hAnsi="Times New Roman" w:cs="OpenSymbol"/>
    </w:rPr>
  </w:style>
  <w:style w:type="character" w:styleId="ListLabel255">
    <w:name w:val="ListLabel 255"/>
    <w:qFormat/>
    <w:rPr>
      <w:rFonts w:ascii="Times New Roman" w:hAnsi="Times New Roman"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952</TotalTime>
  <Application>LibreOffice/5.4.5.1$MacOSX_X86_64 LibreOffice_project/79c9829dd5d8054ec39a82dc51cd9eff340dbee8</Application>
  <Pages>6</Pages>
  <Words>2013</Words>
  <Characters>11296</Characters>
  <CharactersWithSpaces>13096</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2020-05-25T14:14:39Z</dcterms:created>
  <dc:creator/>
  <dc:description/>
  <dc:language>en-US</dc:language>
  <cp:lastModifiedBy/>
  <dcterms:modified xsi:type="dcterms:W3CDTF">2020-06-03T10:41:24Z</dcterms:modified>
  <cp:revision>41</cp:revision>
  <dc:subject/>
  <dc:title/>
</cp:coreProperties>
</file>